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E99C" w14:textId="77777777" w:rsidR="006A5659" w:rsidRDefault="006A5659" w:rsidP="00D204A4">
      <w:pPr>
        <w:pStyle w:val="Overskrift1"/>
        <w:tabs>
          <w:tab w:val="left" w:pos="5850"/>
        </w:tabs>
        <w:jc w:val="center"/>
      </w:pPr>
      <w:bookmarkStart w:id="0" w:name="_Toc91156496"/>
    </w:p>
    <w:p w14:paraId="775B91F7" w14:textId="77777777" w:rsidR="00726B0C" w:rsidRDefault="00726B0C" w:rsidP="00726B0C"/>
    <w:p w14:paraId="2180BB47" w14:textId="77777777" w:rsidR="00726B0C" w:rsidRDefault="00726B0C" w:rsidP="00726B0C"/>
    <w:p w14:paraId="41C67DB3" w14:textId="77777777" w:rsidR="00726B0C" w:rsidRPr="00726B0C" w:rsidRDefault="00726B0C" w:rsidP="00726B0C"/>
    <w:p w14:paraId="5DBAD9DD" w14:textId="77777777" w:rsidR="006A5659" w:rsidRDefault="006A5659" w:rsidP="00D204A4">
      <w:pPr>
        <w:pStyle w:val="Overskrift1"/>
        <w:tabs>
          <w:tab w:val="left" w:pos="5850"/>
        </w:tabs>
        <w:jc w:val="center"/>
      </w:pPr>
    </w:p>
    <w:p w14:paraId="6796A073" w14:textId="58FC9BAE" w:rsidR="00D04A65" w:rsidRPr="00CA5139" w:rsidRDefault="008C2CC5" w:rsidP="00CA5139">
      <w:pPr>
        <w:jc w:val="center"/>
        <w:rPr>
          <w:rFonts w:asciiTheme="majorHAnsi" w:hAnsiTheme="majorHAnsi" w:cstheme="majorHAnsi"/>
          <w:sz w:val="56"/>
          <w:szCs w:val="56"/>
        </w:rPr>
      </w:pPr>
      <w:r w:rsidRPr="00CA5139">
        <w:rPr>
          <w:rStyle w:val="cf01"/>
          <w:rFonts w:asciiTheme="majorHAnsi" w:hAnsiTheme="majorHAnsi" w:cstheme="majorHAnsi"/>
          <w:sz w:val="56"/>
          <w:szCs w:val="56"/>
        </w:rPr>
        <w:t>Vejledning om bivirkning ved bloddonation</w:t>
      </w:r>
      <w:bookmarkEnd w:id="0"/>
    </w:p>
    <w:p w14:paraId="779C0F1F" w14:textId="5640ADA7" w:rsidR="008C2CC5" w:rsidRPr="008C2CC5" w:rsidRDefault="008C2CC5" w:rsidP="00CA5139">
      <w:pPr>
        <w:pStyle w:val="pf0"/>
        <w:jc w:val="center"/>
        <w:rPr>
          <w:rFonts w:ascii="Arial" w:hAnsi="Arial" w:cs="Arial"/>
          <w:sz w:val="20"/>
          <w:szCs w:val="20"/>
        </w:rPr>
      </w:pPr>
      <w:r w:rsidRPr="008C2CC5">
        <w:rPr>
          <w:rStyle w:val="cf01"/>
        </w:rPr>
        <w:t>informér, håndt</w:t>
      </w:r>
      <w:r w:rsidR="007F2C23" w:rsidRPr="008C2CC5">
        <w:rPr>
          <w:rStyle w:val="cf01"/>
        </w:rPr>
        <w:t>é</w:t>
      </w:r>
      <w:r w:rsidRPr="008C2CC5">
        <w:rPr>
          <w:rStyle w:val="cf01"/>
        </w:rPr>
        <w:t>r, registrér</w:t>
      </w:r>
      <w:r w:rsidR="007F2C23">
        <w:rPr>
          <w:rStyle w:val="cf01"/>
        </w:rPr>
        <w:t xml:space="preserve"> </w:t>
      </w:r>
      <w:r w:rsidRPr="008C2CC5">
        <w:rPr>
          <w:rStyle w:val="cf01"/>
        </w:rPr>
        <w:t>og forebyg</w:t>
      </w:r>
    </w:p>
    <w:p w14:paraId="5555187A" w14:textId="77777777" w:rsidR="006A5659" w:rsidRPr="006A5659" w:rsidRDefault="006A5659" w:rsidP="006A5659"/>
    <w:p w14:paraId="44664824" w14:textId="4D715B48" w:rsidR="008E5267" w:rsidRDefault="008E5267" w:rsidP="008E5267">
      <w:pPr>
        <w:jc w:val="center"/>
      </w:pPr>
    </w:p>
    <w:p w14:paraId="243A39FD" w14:textId="77777777" w:rsidR="00726B0C" w:rsidRDefault="00726B0C" w:rsidP="008E5267">
      <w:pPr>
        <w:jc w:val="center"/>
      </w:pPr>
    </w:p>
    <w:p w14:paraId="33118B8B" w14:textId="77777777" w:rsidR="00726B0C" w:rsidRDefault="00726B0C" w:rsidP="008E5267">
      <w:pPr>
        <w:jc w:val="center"/>
      </w:pPr>
    </w:p>
    <w:p w14:paraId="61DB987C" w14:textId="77777777" w:rsidR="00726B0C" w:rsidRDefault="00726B0C" w:rsidP="008E5267">
      <w:pPr>
        <w:jc w:val="center"/>
      </w:pPr>
    </w:p>
    <w:p w14:paraId="0EA27B2A" w14:textId="77777777" w:rsidR="00726B0C" w:rsidRDefault="00726B0C" w:rsidP="008E5267">
      <w:pPr>
        <w:jc w:val="center"/>
      </w:pPr>
    </w:p>
    <w:p w14:paraId="4B500EED" w14:textId="77777777" w:rsidR="00D04A65" w:rsidRDefault="00D04A65" w:rsidP="008E5267">
      <w:pPr>
        <w:jc w:val="center"/>
      </w:pPr>
    </w:p>
    <w:p w14:paraId="61EE7236" w14:textId="77777777" w:rsidR="00D04A65" w:rsidRPr="00D04A65" w:rsidRDefault="00D04A65" w:rsidP="00D04A65">
      <w:pPr>
        <w:jc w:val="center"/>
        <w:rPr>
          <w:sz w:val="36"/>
          <w:szCs w:val="36"/>
        </w:rPr>
      </w:pPr>
      <w:r w:rsidRPr="00D04A65">
        <w:rPr>
          <w:sz w:val="36"/>
          <w:szCs w:val="36"/>
        </w:rPr>
        <w:t>National vejledning</w:t>
      </w:r>
    </w:p>
    <w:p w14:paraId="13A073F6" w14:textId="77777777" w:rsidR="00D04A65" w:rsidRPr="006A5659" w:rsidRDefault="00D04A65" w:rsidP="00D04A65"/>
    <w:p w14:paraId="0D8D5EE4" w14:textId="42171BE6" w:rsidR="00D04A65" w:rsidRPr="00CE4B87" w:rsidRDefault="00D04A65" w:rsidP="00D04A65">
      <w:pPr>
        <w:jc w:val="center"/>
        <w:rPr>
          <w:sz w:val="32"/>
          <w:szCs w:val="32"/>
        </w:rPr>
      </w:pPr>
      <w:r w:rsidRPr="00CE4B87">
        <w:rPr>
          <w:sz w:val="32"/>
          <w:szCs w:val="32"/>
        </w:rPr>
        <w:t>DSKI 202</w:t>
      </w:r>
      <w:r w:rsidR="00CA5139">
        <w:rPr>
          <w:sz w:val="32"/>
          <w:szCs w:val="32"/>
        </w:rPr>
        <w:t>4</w:t>
      </w:r>
      <w:r w:rsidRPr="00CE4B87">
        <w:rPr>
          <w:sz w:val="32"/>
          <w:szCs w:val="32"/>
        </w:rPr>
        <w:t>, version 1.</w:t>
      </w:r>
      <w:r w:rsidR="00CA5139">
        <w:rPr>
          <w:sz w:val="32"/>
          <w:szCs w:val="32"/>
        </w:rPr>
        <w:t>3</w:t>
      </w:r>
    </w:p>
    <w:p w14:paraId="29A1C9F1" w14:textId="15253226" w:rsidR="00CE4B87" w:rsidRPr="00CE4B87" w:rsidRDefault="00CE4B87" w:rsidP="00D04A65">
      <w:pPr>
        <w:jc w:val="center"/>
        <w:rPr>
          <w:sz w:val="32"/>
          <w:szCs w:val="32"/>
        </w:rPr>
      </w:pPr>
      <w:r w:rsidRPr="00CE4B87">
        <w:rPr>
          <w:sz w:val="32"/>
          <w:szCs w:val="32"/>
        </w:rPr>
        <w:t xml:space="preserve">Gældende fra </w:t>
      </w:r>
      <w:r w:rsidR="00CA5139">
        <w:rPr>
          <w:sz w:val="32"/>
          <w:szCs w:val="32"/>
        </w:rPr>
        <w:t>1</w:t>
      </w:r>
      <w:r w:rsidRPr="00CE4B87">
        <w:rPr>
          <w:sz w:val="32"/>
          <w:szCs w:val="32"/>
        </w:rPr>
        <w:t xml:space="preserve">. </w:t>
      </w:r>
      <w:r w:rsidR="00CA5139">
        <w:rPr>
          <w:sz w:val="32"/>
          <w:szCs w:val="32"/>
        </w:rPr>
        <w:t>juli</w:t>
      </w:r>
      <w:r w:rsidRPr="00CE4B87">
        <w:rPr>
          <w:sz w:val="32"/>
          <w:szCs w:val="32"/>
        </w:rPr>
        <w:t xml:space="preserve"> 202</w:t>
      </w:r>
      <w:r w:rsidR="00CA5139">
        <w:rPr>
          <w:sz w:val="32"/>
          <w:szCs w:val="32"/>
        </w:rPr>
        <w:t>4</w:t>
      </w:r>
    </w:p>
    <w:p w14:paraId="1B305261" w14:textId="77777777" w:rsidR="00D04A65" w:rsidRDefault="00D04A65" w:rsidP="008E5267">
      <w:pPr>
        <w:jc w:val="center"/>
      </w:pPr>
    </w:p>
    <w:p w14:paraId="1BAD1619" w14:textId="0B06F630" w:rsidR="00726B0C" w:rsidRDefault="00726B0C">
      <w:r>
        <w:br w:type="page"/>
      </w:r>
    </w:p>
    <w:p w14:paraId="251F3A4C" w14:textId="77777777" w:rsidR="003F4FEF" w:rsidRDefault="003F4FEF" w:rsidP="008E5267">
      <w:pPr>
        <w:jc w:val="center"/>
      </w:pPr>
    </w:p>
    <w:p w14:paraId="61F63E07" w14:textId="3EB66EB5" w:rsidR="003F4FEF" w:rsidRDefault="003F4FEF" w:rsidP="008E5267">
      <w:pPr>
        <w:jc w:val="center"/>
      </w:pPr>
    </w:p>
    <w:p w14:paraId="77C1D943" w14:textId="62B8D26E" w:rsidR="003F4FEF" w:rsidRDefault="003F4FEF" w:rsidP="008E5267">
      <w:pPr>
        <w:jc w:val="center"/>
      </w:pPr>
    </w:p>
    <w:sdt>
      <w:sdtPr>
        <w:rPr>
          <w:rFonts w:asciiTheme="minorHAnsi" w:eastAsiaTheme="minorHAnsi" w:hAnsiTheme="minorHAnsi" w:cstheme="minorBidi"/>
          <w:color w:val="auto"/>
          <w:sz w:val="22"/>
          <w:szCs w:val="22"/>
          <w:lang w:eastAsia="en-US"/>
        </w:rPr>
        <w:id w:val="-13689639"/>
        <w:docPartObj>
          <w:docPartGallery w:val="Table of Contents"/>
          <w:docPartUnique/>
        </w:docPartObj>
      </w:sdtPr>
      <w:sdtEndPr>
        <w:rPr>
          <w:b/>
          <w:bCs/>
        </w:rPr>
      </w:sdtEndPr>
      <w:sdtContent>
        <w:p w14:paraId="5DA39A9D" w14:textId="0CD918C7" w:rsidR="00BB212C" w:rsidRDefault="00BB212C">
          <w:pPr>
            <w:pStyle w:val="Overskrift"/>
          </w:pPr>
          <w:r>
            <w:t>Indholdsfortegnelse</w:t>
          </w:r>
        </w:p>
        <w:p w14:paraId="2DC93BED" w14:textId="288614FE" w:rsidR="00710BC2" w:rsidRDefault="00BB212C" w:rsidP="00710BC2">
          <w:pPr>
            <w:pStyle w:val="Indholdsfortegnelse2"/>
            <w:rPr>
              <w:rFonts w:cstheme="minorBidi"/>
              <w:noProof/>
              <w:kern w:val="2"/>
              <w14:ligatures w14:val="standardContextual"/>
            </w:rPr>
          </w:pPr>
          <w:r>
            <w:fldChar w:fldCharType="begin"/>
          </w:r>
          <w:r>
            <w:instrText xml:space="preserve"> TOC \o "1-3" \h \z \u </w:instrText>
          </w:r>
          <w:r>
            <w:fldChar w:fldCharType="separate"/>
          </w:r>
          <w:hyperlink w:anchor="_Toc170715513" w:history="1">
            <w:r w:rsidR="00710BC2" w:rsidRPr="00505AA3">
              <w:rPr>
                <w:rStyle w:val="Hyperlink"/>
                <w:b/>
                <w:bCs/>
                <w:noProof/>
              </w:rPr>
              <w:t>Introduktion</w:t>
            </w:r>
            <w:r w:rsidR="00710BC2">
              <w:rPr>
                <w:noProof/>
                <w:webHidden/>
              </w:rPr>
              <w:tab/>
            </w:r>
            <w:r w:rsidR="00710BC2">
              <w:rPr>
                <w:noProof/>
                <w:webHidden/>
              </w:rPr>
              <w:fldChar w:fldCharType="begin"/>
            </w:r>
            <w:r w:rsidR="00710BC2">
              <w:rPr>
                <w:noProof/>
                <w:webHidden/>
              </w:rPr>
              <w:instrText xml:space="preserve"> PAGEREF _Toc170715513 \h </w:instrText>
            </w:r>
            <w:r w:rsidR="00710BC2">
              <w:rPr>
                <w:noProof/>
                <w:webHidden/>
              </w:rPr>
            </w:r>
            <w:r w:rsidR="00710BC2">
              <w:rPr>
                <w:noProof/>
                <w:webHidden/>
              </w:rPr>
              <w:fldChar w:fldCharType="separate"/>
            </w:r>
            <w:r w:rsidR="00710BC2">
              <w:rPr>
                <w:noProof/>
                <w:webHidden/>
              </w:rPr>
              <w:t>3</w:t>
            </w:r>
            <w:r w:rsidR="00710BC2">
              <w:rPr>
                <w:noProof/>
                <w:webHidden/>
              </w:rPr>
              <w:fldChar w:fldCharType="end"/>
            </w:r>
          </w:hyperlink>
        </w:p>
        <w:p w14:paraId="1C0CC166" w14:textId="6B2000C4" w:rsidR="00710BC2" w:rsidRDefault="00710BC2" w:rsidP="00710BC2">
          <w:pPr>
            <w:pStyle w:val="Indholdsfortegnelse2"/>
            <w:rPr>
              <w:rFonts w:cstheme="minorBidi"/>
              <w:noProof/>
              <w:kern w:val="2"/>
              <w14:ligatures w14:val="standardContextual"/>
            </w:rPr>
          </w:pPr>
          <w:hyperlink w:anchor="_Toc170715514" w:history="1">
            <w:r w:rsidRPr="00505AA3">
              <w:rPr>
                <w:rStyle w:val="Hyperlink"/>
                <w:b/>
                <w:bCs/>
                <w:noProof/>
              </w:rPr>
              <w:t>Definition</w:t>
            </w:r>
            <w:r>
              <w:rPr>
                <w:noProof/>
                <w:webHidden/>
              </w:rPr>
              <w:tab/>
            </w:r>
            <w:r>
              <w:rPr>
                <w:noProof/>
                <w:webHidden/>
              </w:rPr>
              <w:fldChar w:fldCharType="begin"/>
            </w:r>
            <w:r>
              <w:rPr>
                <w:noProof/>
                <w:webHidden/>
              </w:rPr>
              <w:instrText xml:space="preserve"> PAGEREF _Toc170715514 \h </w:instrText>
            </w:r>
            <w:r>
              <w:rPr>
                <w:noProof/>
                <w:webHidden/>
              </w:rPr>
            </w:r>
            <w:r>
              <w:rPr>
                <w:noProof/>
                <w:webHidden/>
              </w:rPr>
              <w:fldChar w:fldCharType="separate"/>
            </w:r>
            <w:r>
              <w:rPr>
                <w:noProof/>
                <w:webHidden/>
              </w:rPr>
              <w:t>3</w:t>
            </w:r>
            <w:r>
              <w:rPr>
                <w:noProof/>
                <w:webHidden/>
              </w:rPr>
              <w:fldChar w:fldCharType="end"/>
            </w:r>
          </w:hyperlink>
        </w:p>
        <w:p w14:paraId="306438C7" w14:textId="5F1B4F17" w:rsidR="00710BC2" w:rsidRDefault="00710BC2">
          <w:pPr>
            <w:pStyle w:val="Indholdsfortegnelse1"/>
            <w:tabs>
              <w:tab w:val="right" w:leader="dot" w:pos="9628"/>
            </w:tabs>
            <w:rPr>
              <w:rFonts w:cstheme="minorBidi"/>
              <w:noProof/>
              <w:kern w:val="2"/>
              <w14:ligatures w14:val="standardContextual"/>
            </w:rPr>
          </w:pPr>
          <w:hyperlink w:anchor="_Toc170715515" w:history="1">
            <w:r w:rsidRPr="00505AA3">
              <w:rPr>
                <w:rStyle w:val="Hyperlink"/>
                <w:noProof/>
              </w:rPr>
              <w:t>Håndtering af donorbivirkninger</w:t>
            </w:r>
            <w:r>
              <w:rPr>
                <w:noProof/>
                <w:webHidden/>
              </w:rPr>
              <w:tab/>
            </w:r>
            <w:r>
              <w:rPr>
                <w:noProof/>
                <w:webHidden/>
              </w:rPr>
              <w:fldChar w:fldCharType="begin"/>
            </w:r>
            <w:r>
              <w:rPr>
                <w:noProof/>
                <w:webHidden/>
              </w:rPr>
              <w:instrText xml:space="preserve"> PAGEREF _Toc170715515 \h </w:instrText>
            </w:r>
            <w:r>
              <w:rPr>
                <w:noProof/>
                <w:webHidden/>
              </w:rPr>
            </w:r>
            <w:r>
              <w:rPr>
                <w:noProof/>
                <w:webHidden/>
              </w:rPr>
              <w:fldChar w:fldCharType="separate"/>
            </w:r>
            <w:r>
              <w:rPr>
                <w:noProof/>
                <w:webHidden/>
              </w:rPr>
              <w:t>4</w:t>
            </w:r>
            <w:r>
              <w:rPr>
                <w:noProof/>
                <w:webHidden/>
              </w:rPr>
              <w:fldChar w:fldCharType="end"/>
            </w:r>
          </w:hyperlink>
        </w:p>
        <w:p w14:paraId="0FE2F227" w14:textId="2F3FCBC4" w:rsidR="00710BC2" w:rsidRDefault="00710BC2" w:rsidP="00710BC2">
          <w:pPr>
            <w:pStyle w:val="Indholdsfortegnelse2"/>
            <w:rPr>
              <w:rFonts w:cstheme="minorBidi"/>
              <w:noProof/>
              <w:kern w:val="2"/>
              <w14:ligatures w14:val="standardContextual"/>
            </w:rPr>
          </w:pPr>
          <w:hyperlink w:anchor="_Toc170715516" w:history="1">
            <w:r w:rsidRPr="00505AA3">
              <w:rPr>
                <w:rStyle w:val="Hyperlink"/>
                <w:noProof/>
              </w:rPr>
              <w:t>Vurdering og behandling af donorbivirkninger</w:t>
            </w:r>
            <w:r>
              <w:rPr>
                <w:noProof/>
                <w:webHidden/>
              </w:rPr>
              <w:tab/>
            </w:r>
            <w:r>
              <w:rPr>
                <w:noProof/>
                <w:webHidden/>
              </w:rPr>
              <w:fldChar w:fldCharType="begin"/>
            </w:r>
            <w:r>
              <w:rPr>
                <w:noProof/>
                <w:webHidden/>
              </w:rPr>
              <w:instrText xml:space="preserve"> PAGEREF _Toc170715516 \h </w:instrText>
            </w:r>
            <w:r>
              <w:rPr>
                <w:noProof/>
                <w:webHidden/>
              </w:rPr>
            </w:r>
            <w:r>
              <w:rPr>
                <w:noProof/>
                <w:webHidden/>
              </w:rPr>
              <w:fldChar w:fldCharType="separate"/>
            </w:r>
            <w:r>
              <w:rPr>
                <w:noProof/>
                <w:webHidden/>
              </w:rPr>
              <w:t>4</w:t>
            </w:r>
            <w:r>
              <w:rPr>
                <w:noProof/>
                <w:webHidden/>
              </w:rPr>
              <w:fldChar w:fldCharType="end"/>
            </w:r>
          </w:hyperlink>
        </w:p>
        <w:p w14:paraId="10707D11" w14:textId="00EA9098" w:rsidR="00710BC2" w:rsidRDefault="00710BC2" w:rsidP="00710BC2">
          <w:pPr>
            <w:pStyle w:val="Indholdsfortegnelse2"/>
            <w:rPr>
              <w:rFonts w:cstheme="minorBidi"/>
              <w:noProof/>
              <w:kern w:val="2"/>
              <w14:ligatures w14:val="standardContextual"/>
            </w:rPr>
          </w:pPr>
          <w:hyperlink w:anchor="_Toc170715517" w:history="1">
            <w:r w:rsidRPr="00505AA3">
              <w:rPr>
                <w:rStyle w:val="Hyperlink"/>
                <w:b/>
                <w:bCs/>
                <w:noProof/>
              </w:rPr>
              <w:t>Information til donorer med en bivirkning/skade</w:t>
            </w:r>
            <w:r>
              <w:rPr>
                <w:noProof/>
                <w:webHidden/>
              </w:rPr>
              <w:tab/>
            </w:r>
            <w:r>
              <w:rPr>
                <w:noProof/>
                <w:webHidden/>
              </w:rPr>
              <w:fldChar w:fldCharType="begin"/>
            </w:r>
            <w:r>
              <w:rPr>
                <w:noProof/>
                <w:webHidden/>
              </w:rPr>
              <w:instrText xml:space="preserve"> PAGEREF _Toc170715517 \h </w:instrText>
            </w:r>
            <w:r>
              <w:rPr>
                <w:noProof/>
                <w:webHidden/>
              </w:rPr>
            </w:r>
            <w:r>
              <w:rPr>
                <w:noProof/>
                <w:webHidden/>
              </w:rPr>
              <w:fldChar w:fldCharType="separate"/>
            </w:r>
            <w:r>
              <w:rPr>
                <w:noProof/>
                <w:webHidden/>
              </w:rPr>
              <w:t>4</w:t>
            </w:r>
            <w:r>
              <w:rPr>
                <w:noProof/>
                <w:webHidden/>
              </w:rPr>
              <w:fldChar w:fldCharType="end"/>
            </w:r>
          </w:hyperlink>
        </w:p>
        <w:p w14:paraId="467A9FCF" w14:textId="1F64BF6F" w:rsidR="00710BC2" w:rsidRDefault="00710BC2" w:rsidP="00710BC2">
          <w:pPr>
            <w:pStyle w:val="Indholdsfortegnelse2"/>
            <w:rPr>
              <w:rFonts w:cstheme="minorBidi"/>
              <w:noProof/>
              <w:kern w:val="2"/>
              <w14:ligatures w14:val="standardContextual"/>
            </w:rPr>
          </w:pPr>
          <w:hyperlink w:anchor="_Toc170715518" w:history="1">
            <w:r w:rsidRPr="00505AA3">
              <w:rPr>
                <w:rStyle w:val="Hyperlink"/>
                <w:b/>
                <w:bCs/>
                <w:noProof/>
              </w:rPr>
              <w:t>Registrering og indberetning af bivirkninger</w:t>
            </w:r>
            <w:r>
              <w:rPr>
                <w:noProof/>
                <w:webHidden/>
              </w:rPr>
              <w:tab/>
            </w:r>
            <w:r>
              <w:rPr>
                <w:noProof/>
                <w:webHidden/>
              </w:rPr>
              <w:fldChar w:fldCharType="begin"/>
            </w:r>
            <w:r>
              <w:rPr>
                <w:noProof/>
                <w:webHidden/>
              </w:rPr>
              <w:instrText xml:space="preserve"> PAGEREF _Toc170715518 \h </w:instrText>
            </w:r>
            <w:r>
              <w:rPr>
                <w:noProof/>
                <w:webHidden/>
              </w:rPr>
            </w:r>
            <w:r>
              <w:rPr>
                <w:noProof/>
                <w:webHidden/>
              </w:rPr>
              <w:fldChar w:fldCharType="separate"/>
            </w:r>
            <w:r>
              <w:rPr>
                <w:noProof/>
                <w:webHidden/>
              </w:rPr>
              <w:t>5</w:t>
            </w:r>
            <w:r>
              <w:rPr>
                <w:noProof/>
                <w:webHidden/>
              </w:rPr>
              <w:fldChar w:fldCharType="end"/>
            </w:r>
          </w:hyperlink>
        </w:p>
        <w:p w14:paraId="6951AF99" w14:textId="62F1EC5B" w:rsidR="00710BC2" w:rsidRDefault="00710BC2" w:rsidP="00710BC2">
          <w:pPr>
            <w:pStyle w:val="Indholdsfortegnelse2"/>
            <w:rPr>
              <w:rFonts w:cstheme="minorBidi"/>
              <w:noProof/>
              <w:kern w:val="2"/>
              <w14:ligatures w14:val="standardContextual"/>
            </w:rPr>
          </w:pPr>
          <w:hyperlink w:anchor="_Toc170715519" w:history="1">
            <w:r w:rsidRPr="00505AA3">
              <w:rPr>
                <w:rStyle w:val="Hyperlink"/>
                <w:b/>
                <w:bCs/>
                <w:noProof/>
              </w:rPr>
              <w:t>Ansøgning om erstatning</w:t>
            </w:r>
            <w:r>
              <w:rPr>
                <w:noProof/>
                <w:webHidden/>
              </w:rPr>
              <w:tab/>
            </w:r>
            <w:r>
              <w:rPr>
                <w:noProof/>
                <w:webHidden/>
              </w:rPr>
              <w:fldChar w:fldCharType="begin"/>
            </w:r>
            <w:r>
              <w:rPr>
                <w:noProof/>
                <w:webHidden/>
              </w:rPr>
              <w:instrText xml:space="preserve"> PAGEREF _Toc170715519 \h </w:instrText>
            </w:r>
            <w:r>
              <w:rPr>
                <w:noProof/>
                <w:webHidden/>
              </w:rPr>
            </w:r>
            <w:r>
              <w:rPr>
                <w:noProof/>
                <w:webHidden/>
              </w:rPr>
              <w:fldChar w:fldCharType="separate"/>
            </w:r>
            <w:r>
              <w:rPr>
                <w:noProof/>
                <w:webHidden/>
              </w:rPr>
              <w:t>6</w:t>
            </w:r>
            <w:r>
              <w:rPr>
                <w:noProof/>
                <w:webHidden/>
              </w:rPr>
              <w:fldChar w:fldCharType="end"/>
            </w:r>
          </w:hyperlink>
        </w:p>
        <w:p w14:paraId="7DCA73E5" w14:textId="58127D06" w:rsidR="00710BC2" w:rsidRDefault="00710BC2">
          <w:pPr>
            <w:pStyle w:val="Indholdsfortegnelse1"/>
            <w:tabs>
              <w:tab w:val="right" w:leader="dot" w:pos="9628"/>
            </w:tabs>
            <w:rPr>
              <w:rFonts w:cstheme="minorBidi"/>
              <w:noProof/>
              <w:kern w:val="2"/>
              <w14:ligatures w14:val="standardContextual"/>
            </w:rPr>
          </w:pPr>
          <w:hyperlink w:anchor="_Toc170715520" w:history="1">
            <w:r w:rsidRPr="00505AA3">
              <w:rPr>
                <w:rStyle w:val="Hyperlink"/>
                <w:noProof/>
              </w:rPr>
              <w:t>Donorbivirkninger – forebyggelse, årsager, symptomer, fund, behandling og prognose</w:t>
            </w:r>
            <w:r>
              <w:rPr>
                <w:noProof/>
                <w:webHidden/>
              </w:rPr>
              <w:tab/>
            </w:r>
            <w:r>
              <w:rPr>
                <w:noProof/>
                <w:webHidden/>
              </w:rPr>
              <w:fldChar w:fldCharType="begin"/>
            </w:r>
            <w:r>
              <w:rPr>
                <w:noProof/>
                <w:webHidden/>
              </w:rPr>
              <w:instrText xml:space="preserve"> PAGEREF _Toc170715520 \h </w:instrText>
            </w:r>
            <w:r>
              <w:rPr>
                <w:noProof/>
                <w:webHidden/>
              </w:rPr>
            </w:r>
            <w:r>
              <w:rPr>
                <w:noProof/>
                <w:webHidden/>
              </w:rPr>
              <w:fldChar w:fldCharType="separate"/>
            </w:r>
            <w:r>
              <w:rPr>
                <w:noProof/>
                <w:webHidden/>
              </w:rPr>
              <w:t>7</w:t>
            </w:r>
            <w:r>
              <w:rPr>
                <w:noProof/>
                <w:webHidden/>
              </w:rPr>
              <w:fldChar w:fldCharType="end"/>
            </w:r>
          </w:hyperlink>
        </w:p>
        <w:p w14:paraId="5ACD06EF" w14:textId="3FEC5103" w:rsidR="00710BC2" w:rsidRDefault="00710BC2" w:rsidP="00710BC2">
          <w:pPr>
            <w:pStyle w:val="Indholdsfortegnelse2"/>
            <w:rPr>
              <w:rFonts w:cstheme="minorBidi"/>
              <w:noProof/>
              <w:kern w:val="2"/>
              <w14:ligatures w14:val="standardContextual"/>
            </w:rPr>
          </w:pPr>
          <w:hyperlink w:anchor="_Toc170715521" w:history="1">
            <w:r w:rsidRPr="00505AA3">
              <w:rPr>
                <w:rStyle w:val="Hyperlink"/>
                <w:b/>
                <w:bCs/>
                <w:noProof/>
              </w:rPr>
              <w:t>Forebyggelse af bivirkninger</w:t>
            </w:r>
            <w:r>
              <w:rPr>
                <w:noProof/>
                <w:webHidden/>
              </w:rPr>
              <w:tab/>
            </w:r>
            <w:r>
              <w:rPr>
                <w:noProof/>
                <w:webHidden/>
              </w:rPr>
              <w:fldChar w:fldCharType="begin"/>
            </w:r>
            <w:r>
              <w:rPr>
                <w:noProof/>
                <w:webHidden/>
              </w:rPr>
              <w:instrText xml:space="preserve"> PAGEREF _Toc170715521 \h </w:instrText>
            </w:r>
            <w:r>
              <w:rPr>
                <w:noProof/>
                <w:webHidden/>
              </w:rPr>
            </w:r>
            <w:r>
              <w:rPr>
                <w:noProof/>
                <w:webHidden/>
              </w:rPr>
              <w:fldChar w:fldCharType="separate"/>
            </w:r>
            <w:r>
              <w:rPr>
                <w:noProof/>
                <w:webHidden/>
              </w:rPr>
              <w:t>7</w:t>
            </w:r>
            <w:r>
              <w:rPr>
                <w:noProof/>
                <w:webHidden/>
              </w:rPr>
              <w:fldChar w:fldCharType="end"/>
            </w:r>
          </w:hyperlink>
        </w:p>
        <w:p w14:paraId="068FEAA6" w14:textId="0B2BE8B4" w:rsidR="00710BC2" w:rsidRDefault="00710BC2" w:rsidP="00710BC2">
          <w:pPr>
            <w:pStyle w:val="Indholdsfortegnelse2"/>
            <w:rPr>
              <w:rFonts w:cstheme="minorBidi"/>
              <w:noProof/>
              <w:kern w:val="2"/>
              <w14:ligatures w14:val="standardContextual"/>
            </w:rPr>
          </w:pPr>
          <w:hyperlink w:anchor="_Toc170715522" w:history="1">
            <w:r w:rsidRPr="00505AA3">
              <w:rPr>
                <w:rStyle w:val="Hyperlink"/>
                <w:b/>
                <w:bCs/>
                <w:noProof/>
              </w:rPr>
              <w:t>Hæmatom</w:t>
            </w:r>
            <w:r>
              <w:rPr>
                <w:noProof/>
                <w:webHidden/>
              </w:rPr>
              <w:tab/>
            </w:r>
            <w:r>
              <w:rPr>
                <w:noProof/>
                <w:webHidden/>
              </w:rPr>
              <w:fldChar w:fldCharType="begin"/>
            </w:r>
            <w:r>
              <w:rPr>
                <w:noProof/>
                <w:webHidden/>
              </w:rPr>
              <w:instrText xml:space="preserve"> PAGEREF _Toc170715522 \h </w:instrText>
            </w:r>
            <w:r>
              <w:rPr>
                <w:noProof/>
                <w:webHidden/>
              </w:rPr>
            </w:r>
            <w:r>
              <w:rPr>
                <w:noProof/>
                <w:webHidden/>
              </w:rPr>
              <w:fldChar w:fldCharType="separate"/>
            </w:r>
            <w:r>
              <w:rPr>
                <w:noProof/>
                <w:webHidden/>
              </w:rPr>
              <w:t>8</w:t>
            </w:r>
            <w:r>
              <w:rPr>
                <w:noProof/>
                <w:webHidden/>
              </w:rPr>
              <w:fldChar w:fldCharType="end"/>
            </w:r>
          </w:hyperlink>
        </w:p>
        <w:p w14:paraId="5A29A464" w14:textId="2AA5ABDE" w:rsidR="00710BC2" w:rsidRDefault="00710BC2" w:rsidP="00710BC2">
          <w:pPr>
            <w:pStyle w:val="Indholdsfortegnelse2"/>
            <w:rPr>
              <w:rFonts w:cstheme="minorBidi"/>
              <w:noProof/>
              <w:kern w:val="2"/>
              <w14:ligatures w14:val="standardContextual"/>
            </w:rPr>
          </w:pPr>
          <w:hyperlink w:anchor="_Toc170715523" w:history="1">
            <w:r w:rsidRPr="00505AA3">
              <w:rPr>
                <w:rStyle w:val="Hyperlink"/>
                <w:b/>
                <w:bCs/>
                <w:noProof/>
              </w:rPr>
              <w:t>Reblødning/forsinket blødning</w:t>
            </w:r>
            <w:r>
              <w:rPr>
                <w:noProof/>
                <w:webHidden/>
              </w:rPr>
              <w:tab/>
            </w:r>
            <w:r>
              <w:rPr>
                <w:noProof/>
                <w:webHidden/>
              </w:rPr>
              <w:fldChar w:fldCharType="begin"/>
            </w:r>
            <w:r>
              <w:rPr>
                <w:noProof/>
                <w:webHidden/>
              </w:rPr>
              <w:instrText xml:space="preserve"> PAGEREF _Toc170715523 \h </w:instrText>
            </w:r>
            <w:r>
              <w:rPr>
                <w:noProof/>
                <w:webHidden/>
              </w:rPr>
            </w:r>
            <w:r>
              <w:rPr>
                <w:noProof/>
                <w:webHidden/>
              </w:rPr>
              <w:fldChar w:fldCharType="separate"/>
            </w:r>
            <w:r>
              <w:rPr>
                <w:noProof/>
                <w:webHidden/>
              </w:rPr>
              <w:t>9</w:t>
            </w:r>
            <w:r>
              <w:rPr>
                <w:noProof/>
                <w:webHidden/>
              </w:rPr>
              <w:fldChar w:fldCharType="end"/>
            </w:r>
          </w:hyperlink>
        </w:p>
        <w:p w14:paraId="0A94721D" w14:textId="3182D168" w:rsidR="00710BC2" w:rsidRDefault="00710BC2" w:rsidP="00710BC2">
          <w:pPr>
            <w:pStyle w:val="Indholdsfortegnelse2"/>
            <w:rPr>
              <w:rFonts w:cstheme="minorBidi"/>
              <w:noProof/>
              <w:kern w:val="2"/>
              <w14:ligatures w14:val="standardContextual"/>
            </w:rPr>
          </w:pPr>
          <w:hyperlink w:anchor="_Toc170715524" w:history="1">
            <w:r w:rsidRPr="00505AA3">
              <w:rPr>
                <w:rStyle w:val="Hyperlink"/>
                <w:b/>
                <w:bCs/>
                <w:noProof/>
              </w:rPr>
              <w:t>Arteriepunktur</w:t>
            </w:r>
            <w:r>
              <w:rPr>
                <w:noProof/>
                <w:webHidden/>
              </w:rPr>
              <w:tab/>
            </w:r>
            <w:r>
              <w:rPr>
                <w:noProof/>
                <w:webHidden/>
              </w:rPr>
              <w:fldChar w:fldCharType="begin"/>
            </w:r>
            <w:r>
              <w:rPr>
                <w:noProof/>
                <w:webHidden/>
              </w:rPr>
              <w:instrText xml:space="preserve"> PAGEREF _Toc170715524 \h </w:instrText>
            </w:r>
            <w:r>
              <w:rPr>
                <w:noProof/>
                <w:webHidden/>
              </w:rPr>
            </w:r>
            <w:r>
              <w:rPr>
                <w:noProof/>
                <w:webHidden/>
              </w:rPr>
              <w:fldChar w:fldCharType="separate"/>
            </w:r>
            <w:r>
              <w:rPr>
                <w:noProof/>
                <w:webHidden/>
              </w:rPr>
              <w:t>9</w:t>
            </w:r>
            <w:r>
              <w:rPr>
                <w:noProof/>
                <w:webHidden/>
              </w:rPr>
              <w:fldChar w:fldCharType="end"/>
            </w:r>
          </w:hyperlink>
        </w:p>
        <w:p w14:paraId="7BEA7795" w14:textId="1992D99F" w:rsidR="00710BC2" w:rsidRDefault="00710BC2" w:rsidP="00710BC2">
          <w:pPr>
            <w:pStyle w:val="Indholdsfortegnelse2"/>
            <w:rPr>
              <w:rFonts w:cstheme="minorBidi"/>
              <w:noProof/>
              <w:kern w:val="2"/>
              <w14:ligatures w14:val="standardContextual"/>
            </w:rPr>
          </w:pPr>
          <w:hyperlink w:anchor="_Toc170715525" w:history="1">
            <w:r w:rsidRPr="00505AA3">
              <w:rPr>
                <w:rStyle w:val="Hyperlink"/>
                <w:b/>
                <w:bCs/>
                <w:noProof/>
              </w:rPr>
              <w:t>Nerveskade/nerveirritation</w:t>
            </w:r>
            <w:r>
              <w:rPr>
                <w:noProof/>
                <w:webHidden/>
              </w:rPr>
              <w:tab/>
            </w:r>
            <w:r>
              <w:rPr>
                <w:noProof/>
                <w:webHidden/>
              </w:rPr>
              <w:fldChar w:fldCharType="begin"/>
            </w:r>
            <w:r>
              <w:rPr>
                <w:noProof/>
                <w:webHidden/>
              </w:rPr>
              <w:instrText xml:space="preserve"> PAGEREF _Toc170715525 \h </w:instrText>
            </w:r>
            <w:r>
              <w:rPr>
                <w:noProof/>
                <w:webHidden/>
              </w:rPr>
            </w:r>
            <w:r>
              <w:rPr>
                <w:noProof/>
                <w:webHidden/>
              </w:rPr>
              <w:fldChar w:fldCharType="separate"/>
            </w:r>
            <w:r>
              <w:rPr>
                <w:noProof/>
                <w:webHidden/>
              </w:rPr>
              <w:t>10</w:t>
            </w:r>
            <w:r>
              <w:rPr>
                <w:noProof/>
                <w:webHidden/>
              </w:rPr>
              <w:fldChar w:fldCharType="end"/>
            </w:r>
          </w:hyperlink>
        </w:p>
        <w:p w14:paraId="6CFA800B" w14:textId="299E9DAE" w:rsidR="00710BC2" w:rsidRDefault="00710BC2" w:rsidP="00710BC2">
          <w:pPr>
            <w:pStyle w:val="Indholdsfortegnelse2"/>
            <w:rPr>
              <w:rFonts w:cstheme="minorBidi"/>
              <w:noProof/>
              <w:kern w:val="2"/>
              <w14:ligatures w14:val="standardContextual"/>
            </w:rPr>
          </w:pPr>
          <w:hyperlink w:anchor="_Toc170715526" w:history="1">
            <w:r w:rsidRPr="00505AA3">
              <w:rPr>
                <w:rStyle w:val="Hyperlink"/>
                <w:b/>
                <w:bCs/>
                <w:noProof/>
              </w:rPr>
              <w:t>Anden smerte</w:t>
            </w:r>
            <w:r>
              <w:rPr>
                <w:noProof/>
                <w:webHidden/>
              </w:rPr>
              <w:tab/>
            </w:r>
            <w:r>
              <w:rPr>
                <w:noProof/>
                <w:webHidden/>
              </w:rPr>
              <w:fldChar w:fldCharType="begin"/>
            </w:r>
            <w:r>
              <w:rPr>
                <w:noProof/>
                <w:webHidden/>
              </w:rPr>
              <w:instrText xml:space="preserve"> PAGEREF _Toc170715526 \h </w:instrText>
            </w:r>
            <w:r>
              <w:rPr>
                <w:noProof/>
                <w:webHidden/>
              </w:rPr>
            </w:r>
            <w:r>
              <w:rPr>
                <w:noProof/>
                <w:webHidden/>
              </w:rPr>
              <w:fldChar w:fldCharType="separate"/>
            </w:r>
            <w:r>
              <w:rPr>
                <w:noProof/>
                <w:webHidden/>
              </w:rPr>
              <w:t>11</w:t>
            </w:r>
            <w:r>
              <w:rPr>
                <w:noProof/>
                <w:webHidden/>
              </w:rPr>
              <w:fldChar w:fldCharType="end"/>
            </w:r>
          </w:hyperlink>
        </w:p>
        <w:p w14:paraId="610F1C02" w14:textId="342A7C8E" w:rsidR="00710BC2" w:rsidRDefault="00710BC2" w:rsidP="00710BC2">
          <w:pPr>
            <w:pStyle w:val="Indholdsfortegnelse2"/>
            <w:rPr>
              <w:rFonts w:cstheme="minorBidi"/>
              <w:noProof/>
              <w:kern w:val="2"/>
              <w14:ligatures w14:val="standardContextual"/>
            </w:rPr>
          </w:pPr>
          <w:hyperlink w:anchor="_Toc170715527" w:history="1">
            <w:r w:rsidRPr="00505AA3">
              <w:rPr>
                <w:rStyle w:val="Hyperlink"/>
                <w:b/>
                <w:bCs/>
                <w:noProof/>
              </w:rPr>
              <w:t>Vasovagale reaktioner/besvimelser</w:t>
            </w:r>
            <w:r>
              <w:rPr>
                <w:noProof/>
                <w:webHidden/>
              </w:rPr>
              <w:tab/>
            </w:r>
            <w:r>
              <w:rPr>
                <w:noProof/>
                <w:webHidden/>
              </w:rPr>
              <w:fldChar w:fldCharType="begin"/>
            </w:r>
            <w:r>
              <w:rPr>
                <w:noProof/>
                <w:webHidden/>
              </w:rPr>
              <w:instrText xml:space="preserve"> PAGEREF _Toc170715527 \h </w:instrText>
            </w:r>
            <w:r>
              <w:rPr>
                <w:noProof/>
                <w:webHidden/>
              </w:rPr>
            </w:r>
            <w:r>
              <w:rPr>
                <w:noProof/>
                <w:webHidden/>
              </w:rPr>
              <w:fldChar w:fldCharType="separate"/>
            </w:r>
            <w:r>
              <w:rPr>
                <w:noProof/>
                <w:webHidden/>
              </w:rPr>
              <w:t>11</w:t>
            </w:r>
            <w:r>
              <w:rPr>
                <w:noProof/>
                <w:webHidden/>
              </w:rPr>
              <w:fldChar w:fldCharType="end"/>
            </w:r>
          </w:hyperlink>
        </w:p>
        <w:p w14:paraId="1BB255DD" w14:textId="04BAABD5" w:rsidR="00710BC2" w:rsidRDefault="00710BC2" w:rsidP="00710BC2">
          <w:pPr>
            <w:pStyle w:val="Indholdsfortegnelse2"/>
            <w:rPr>
              <w:rFonts w:cstheme="minorBidi"/>
              <w:noProof/>
              <w:kern w:val="2"/>
              <w14:ligatures w14:val="standardContextual"/>
            </w:rPr>
          </w:pPr>
          <w:hyperlink w:anchor="_Toc170715528" w:history="1">
            <w:r w:rsidRPr="00505AA3">
              <w:rPr>
                <w:rStyle w:val="Hyperlink"/>
                <w:b/>
                <w:bCs/>
                <w:noProof/>
              </w:rPr>
              <w:t>Citratføling</w:t>
            </w:r>
            <w:r>
              <w:rPr>
                <w:noProof/>
                <w:webHidden/>
              </w:rPr>
              <w:tab/>
            </w:r>
            <w:r>
              <w:rPr>
                <w:noProof/>
                <w:webHidden/>
              </w:rPr>
              <w:fldChar w:fldCharType="begin"/>
            </w:r>
            <w:r>
              <w:rPr>
                <w:noProof/>
                <w:webHidden/>
              </w:rPr>
              <w:instrText xml:space="preserve"> PAGEREF _Toc170715528 \h </w:instrText>
            </w:r>
            <w:r>
              <w:rPr>
                <w:noProof/>
                <w:webHidden/>
              </w:rPr>
            </w:r>
            <w:r>
              <w:rPr>
                <w:noProof/>
                <w:webHidden/>
              </w:rPr>
              <w:fldChar w:fldCharType="separate"/>
            </w:r>
            <w:r>
              <w:rPr>
                <w:noProof/>
                <w:webHidden/>
              </w:rPr>
              <w:t>12</w:t>
            </w:r>
            <w:r>
              <w:rPr>
                <w:noProof/>
                <w:webHidden/>
              </w:rPr>
              <w:fldChar w:fldCharType="end"/>
            </w:r>
          </w:hyperlink>
        </w:p>
        <w:p w14:paraId="2394D0A9" w14:textId="10F1E0A6" w:rsidR="00710BC2" w:rsidRDefault="00710BC2" w:rsidP="00710BC2">
          <w:pPr>
            <w:pStyle w:val="Indholdsfortegnelse2"/>
            <w:rPr>
              <w:rFonts w:cstheme="minorBidi"/>
              <w:noProof/>
              <w:kern w:val="2"/>
              <w14:ligatures w14:val="standardContextual"/>
            </w:rPr>
          </w:pPr>
          <w:hyperlink w:anchor="_Toc170715529" w:history="1">
            <w:r w:rsidRPr="00505AA3">
              <w:rPr>
                <w:rStyle w:val="Hyperlink"/>
                <w:b/>
                <w:bCs/>
                <w:noProof/>
              </w:rPr>
              <w:t>Andre bivirkninger</w:t>
            </w:r>
            <w:r>
              <w:rPr>
                <w:noProof/>
                <w:webHidden/>
              </w:rPr>
              <w:tab/>
            </w:r>
            <w:r>
              <w:rPr>
                <w:noProof/>
                <w:webHidden/>
              </w:rPr>
              <w:fldChar w:fldCharType="begin"/>
            </w:r>
            <w:r>
              <w:rPr>
                <w:noProof/>
                <w:webHidden/>
              </w:rPr>
              <w:instrText xml:space="preserve"> PAGEREF _Toc170715529 \h </w:instrText>
            </w:r>
            <w:r>
              <w:rPr>
                <w:noProof/>
                <w:webHidden/>
              </w:rPr>
            </w:r>
            <w:r>
              <w:rPr>
                <w:noProof/>
                <w:webHidden/>
              </w:rPr>
              <w:fldChar w:fldCharType="separate"/>
            </w:r>
            <w:r>
              <w:rPr>
                <w:noProof/>
                <w:webHidden/>
              </w:rPr>
              <w:t>13</w:t>
            </w:r>
            <w:r>
              <w:rPr>
                <w:noProof/>
                <w:webHidden/>
              </w:rPr>
              <w:fldChar w:fldCharType="end"/>
            </w:r>
          </w:hyperlink>
        </w:p>
        <w:p w14:paraId="1F15A0EA" w14:textId="3D3BF300" w:rsidR="00710BC2" w:rsidRDefault="00710BC2">
          <w:pPr>
            <w:pStyle w:val="Indholdsfortegnelse1"/>
            <w:tabs>
              <w:tab w:val="right" w:leader="dot" w:pos="9628"/>
            </w:tabs>
            <w:rPr>
              <w:rFonts w:cstheme="minorBidi"/>
              <w:noProof/>
              <w:kern w:val="2"/>
              <w14:ligatures w14:val="standardContextual"/>
            </w:rPr>
          </w:pPr>
          <w:hyperlink w:anchor="_Toc170715530" w:history="1">
            <w:r w:rsidRPr="00505AA3">
              <w:rPr>
                <w:rStyle w:val="Hyperlink"/>
                <w:noProof/>
              </w:rPr>
              <w:t>Bilag</w:t>
            </w:r>
            <w:r>
              <w:rPr>
                <w:noProof/>
                <w:webHidden/>
              </w:rPr>
              <w:tab/>
            </w:r>
            <w:r>
              <w:rPr>
                <w:noProof/>
                <w:webHidden/>
              </w:rPr>
              <w:fldChar w:fldCharType="begin"/>
            </w:r>
            <w:r>
              <w:rPr>
                <w:noProof/>
                <w:webHidden/>
              </w:rPr>
              <w:instrText xml:space="preserve"> PAGEREF _Toc170715530 \h </w:instrText>
            </w:r>
            <w:r>
              <w:rPr>
                <w:noProof/>
                <w:webHidden/>
              </w:rPr>
            </w:r>
            <w:r>
              <w:rPr>
                <w:noProof/>
                <w:webHidden/>
              </w:rPr>
              <w:fldChar w:fldCharType="separate"/>
            </w:r>
            <w:r>
              <w:rPr>
                <w:noProof/>
                <w:webHidden/>
              </w:rPr>
              <w:t>14</w:t>
            </w:r>
            <w:r>
              <w:rPr>
                <w:noProof/>
                <w:webHidden/>
              </w:rPr>
              <w:fldChar w:fldCharType="end"/>
            </w:r>
          </w:hyperlink>
        </w:p>
        <w:p w14:paraId="1BCAE95B" w14:textId="24CDA21C" w:rsidR="00710BC2" w:rsidRDefault="00710BC2" w:rsidP="00710BC2">
          <w:pPr>
            <w:pStyle w:val="Indholdsfortegnelse2"/>
            <w:rPr>
              <w:rFonts w:cstheme="minorBidi"/>
              <w:noProof/>
              <w:kern w:val="2"/>
              <w14:ligatures w14:val="standardContextual"/>
            </w:rPr>
          </w:pPr>
          <w:hyperlink w:anchor="_Toc170715531" w:history="1">
            <w:r w:rsidRPr="00505AA3">
              <w:rPr>
                <w:rStyle w:val="Hyperlink"/>
                <w:b/>
                <w:bCs/>
                <w:noProof/>
              </w:rPr>
              <w:t>Bilag 1 bivirkningskategorier, sværhedsgrad og årsagssammenhæng</w:t>
            </w:r>
            <w:r>
              <w:rPr>
                <w:noProof/>
                <w:webHidden/>
              </w:rPr>
              <w:tab/>
            </w:r>
            <w:r>
              <w:rPr>
                <w:noProof/>
                <w:webHidden/>
              </w:rPr>
              <w:fldChar w:fldCharType="begin"/>
            </w:r>
            <w:r>
              <w:rPr>
                <w:noProof/>
                <w:webHidden/>
              </w:rPr>
              <w:instrText xml:space="preserve"> PAGEREF _Toc170715531 \h </w:instrText>
            </w:r>
            <w:r>
              <w:rPr>
                <w:noProof/>
                <w:webHidden/>
              </w:rPr>
            </w:r>
            <w:r>
              <w:rPr>
                <w:noProof/>
                <w:webHidden/>
              </w:rPr>
              <w:fldChar w:fldCharType="separate"/>
            </w:r>
            <w:r>
              <w:rPr>
                <w:noProof/>
                <w:webHidden/>
              </w:rPr>
              <w:t>14</w:t>
            </w:r>
            <w:r>
              <w:rPr>
                <w:noProof/>
                <w:webHidden/>
              </w:rPr>
              <w:fldChar w:fldCharType="end"/>
            </w:r>
          </w:hyperlink>
        </w:p>
        <w:p w14:paraId="52671250" w14:textId="74984E6F" w:rsidR="00710BC2" w:rsidRDefault="00710BC2" w:rsidP="00710BC2">
          <w:pPr>
            <w:pStyle w:val="Indholdsfortegnelse2"/>
            <w:rPr>
              <w:rFonts w:cstheme="minorBidi"/>
              <w:noProof/>
              <w:kern w:val="2"/>
              <w14:ligatures w14:val="standardContextual"/>
            </w:rPr>
          </w:pPr>
          <w:hyperlink w:anchor="_Toc170715532" w:history="1">
            <w:r w:rsidRPr="00505AA3">
              <w:rPr>
                <w:rStyle w:val="Hyperlink"/>
                <w:b/>
                <w:bCs/>
                <w:noProof/>
              </w:rPr>
              <w:t>Bilag 2 Flowchart - Forslag til håndtering af bivirkning ved donation</w:t>
            </w:r>
            <w:r>
              <w:rPr>
                <w:noProof/>
                <w:webHidden/>
              </w:rPr>
              <w:tab/>
            </w:r>
            <w:r>
              <w:rPr>
                <w:noProof/>
                <w:webHidden/>
              </w:rPr>
              <w:fldChar w:fldCharType="begin"/>
            </w:r>
            <w:r>
              <w:rPr>
                <w:noProof/>
                <w:webHidden/>
              </w:rPr>
              <w:instrText xml:space="preserve"> PAGEREF _Toc170715532 \h </w:instrText>
            </w:r>
            <w:r>
              <w:rPr>
                <w:noProof/>
                <w:webHidden/>
              </w:rPr>
            </w:r>
            <w:r>
              <w:rPr>
                <w:noProof/>
                <w:webHidden/>
              </w:rPr>
              <w:fldChar w:fldCharType="separate"/>
            </w:r>
            <w:r>
              <w:rPr>
                <w:noProof/>
                <w:webHidden/>
              </w:rPr>
              <w:t>19</w:t>
            </w:r>
            <w:r>
              <w:rPr>
                <w:noProof/>
                <w:webHidden/>
              </w:rPr>
              <w:fldChar w:fldCharType="end"/>
            </w:r>
          </w:hyperlink>
        </w:p>
        <w:p w14:paraId="57366120" w14:textId="35936E8A" w:rsidR="00710BC2" w:rsidRDefault="00710BC2" w:rsidP="00710BC2">
          <w:pPr>
            <w:pStyle w:val="Indholdsfortegnelse2"/>
            <w:rPr>
              <w:rFonts w:cstheme="minorBidi"/>
              <w:noProof/>
              <w:kern w:val="2"/>
              <w14:ligatures w14:val="standardContextual"/>
            </w:rPr>
          </w:pPr>
          <w:hyperlink w:anchor="_Toc170715533" w:history="1">
            <w:r w:rsidRPr="00505AA3">
              <w:rPr>
                <w:rStyle w:val="Hyperlink"/>
                <w:b/>
                <w:bCs/>
                <w:noProof/>
                <w:lang w:val="en-US"/>
              </w:rPr>
              <w:t>Referencer</w:t>
            </w:r>
            <w:r>
              <w:rPr>
                <w:noProof/>
                <w:webHidden/>
              </w:rPr>
              <w:tab/>
            </w:r>
            <w:r>
              <w:rPr>
                <w:noProof/>
                <w:webHidden/>
              </w:rPr>
              <w:fldChar w:fldCharType="begin"/>
            </w:r>
            <w:r>
              <w:rPr>
                <w:noProof/>
                <w:webHidden/>
              </w:rPr>
              <w:instrText xml:space="preserve"> PAGEREF _Toc170715533 \h </w:instrText>
            </w:r>
            <w:r>
              <w:rPr>
                <w:noProof/>
                <w:webHidden/>
              </w:rPr>
            </w:r>
            <w:r>
              <w:rPr>
                <w:noProof/>
                <w:webHidden/>
              </w:rPr>
              <w:fldChar w:fldCharType="separate"/>
            </w:r>
            <w:r>
              <w:rPr>
                <w:noProof/>
                <w:webHidden/>
              </w:rPr>
              <w:t>20</w:t>
            </w:r>
            <w:r>
              <w:rPr>
                <w:noProof/>
                <w:webHidden/>
              </w:rPr>
              <w:fldChar w:fldCharType="end"/>
            </w:r>
          </w:hyperlink>
        </w:p>
        <w:p w14:paraId="5C38EF33" w14:textId="28918DF6" w:rsidR="00710BC2" w:rsidRDefault="00710BC2" w:rsidP="00710BC2">
          <w:pPr>
            <w:pStyle w:val="Indholdsfortegnelse2"/>
            <w:rPr>
              <w:rFonts w:cstheme="minorBidi"/>
              <w:noProof/>
              <w:kern w:val="2"/>
              <w14:ligatures w14:val="standardContextual"/>
            </w:rPr>
          </w:pPr>
          <w:hyperlink w:anchor="_Toc170715534" w:history="1">
            <w:r w:rsidRPr="00505AA3">
              <w:rPr>
                <w:rStyle w:val="Hyperlink"/>
                <w:noProof/>
                <w:lang w:val="en-US"/>
              </w:rPr>
              <w:t>Versionslog</w:t>
            </w:r>
            <w:r>
              <w:rPr>
                <w:noProof/>
                <w:webHidden/>
              </w:rPr>
              <w:tab/>
            </w:r>
            <w:r>
              <w:rPr>
                <w:noProof/>
                <w:webHidden/>
              </w:rPr>
              <w:fldChar w:fldCharType="begin"/>
            </w:r>
            <w:r>
              <w:rPr>
                <w:noProof/>
                <w:webHidden/>
              </w:rPr>
              <w:instrText xml:space="preserve"> PAGEREF _Toc170715534 \h </w:instrText>
            </w:r>
            <w:r>
              <w:rPr>
                <w:noProof/>
                <w:webHidden/>
              </w:rPr>
            </w:r>
            <w:r>
              <w:rPr>
                <w:noProof/>
                <w:webHidden/>
              </w:rPr>
              <w:fldChar w:fldCharType="separate"/>
            </w:r>
            <w:r>
              <w:rPr>
                <w:noProof/>
                <w:webHidden/>
              </w:rPr>
              <w:t>21</w:t>
            </w:r>
            <w:r>
              <w:rPr>
                <w:noProof/>
                <w:webHidden/>
              </w:rPr>
              <w:fldChar w:fldCharType="end"/>
            </w:r>
          </w:hyperlink>
        </w:p>
        <w:p w14:paraId="686F6E5F" w14:textId="68EFE45C" w:rsidR="00BB212C" w:rsidRDefault="00BB212C">
          <w:r>
            <w:rPr>
              <w:b/>
              <w:bCs/>
            </w:rPr>
            <w:fldChar w:fldCharType="end"/>
          </w:r>
        </w:p>
      </w:sdtContent>
    </w:sdt>
    <w:p w14:paraId="28CB19B1" w14:textId="77777777" w:rsidR="00CD49AE" w:rsidRDefault="00CD49AE" w:rsidP="00CD49AE">
      <w:r>
        <w:t xml:space="preserve">Vejledningen er udarbejdet af </w:t>
      </w:r>
      <w:proofErr w:type="spellStart"/>
      <w:r>
        <w:t>DSKIs</w:t>
      </w:r>
      <w:proofErr w:type="spellEnd"/>
      <w:r>
        <w:t xml:space="preserve"> </w:t>
      </w:r>
      <w:proofErr w:type="spellStart"/>
      <w:r>
        <w:t>Hæmovigilanceudvalg</w:t>
      </w:r>
      <w:proofErr w:type="spellEnd"/>
    </w:p>
    <w:p w14:paraId="08DC244F" w14:textId="450AC34C" w:rsidR="00D04A65" w:rsidRDefault="00CD49AE" w:rsidP="005A0D2F">
      <w:pPr>
        <w:spacing w:line="240" w:lineRule="auto"/>
      </w:pPr>
      <w:r>
        <w:t>Bitten Aagaard Jensen (formand</w:t>
      </w:r>
      <w:r w:rsidR="005A0D2F">
        <w:t>)</w:t>
      </w:r>
      <w:r w:rsidR="005A0D2F">
        <w:br/>
      </w:r>
      <w:r>
        <w:t>Christina Mikkelsen</w:t>
      </w:r>
      <w:r w:rsidR="005A0D2F">
        <w:br/>
      </w:r>
      <w:r>
        <w:t>Rune Larsen</w:t>
      </w:r>
      <w:r w:rsidR="005A0D2F">
        <w:br/>
      </w:r>
      <w:r>
        <w:t>Mie Topholm Bruun</w:t>
      </w:r>
      <w:r w:rsidR="005A0D2F">
        <w:br/>
      </w:r>
      <w:r>
        <w:t>Sys Hasslund</w:t>
      </w:r>
      <w:r w:rsidR="005A0D2F">
        <w:br/>
      </w:r>
      <w:r>
        <w:t>Louise Ørnskov Pedersen</w:t>
      </w:r>
      <w:r w:rsidR="005A0D2F">
        <w:br/>
      </w:r>
      <w:r>
        <w:t>Betina Sørensen</w:t>
      </w:r>
    </w:p>
    <w:p w14:paraId="37C1E8A7" w14:textId="0B5880ED" w:rsidR="005A0D2F" w:rsidRDefault="005A0D2F" w:rsidP="005A0D2F">
      <w:pPr>
        <w:spacing w:line="240" w:lineRule="auto"/>
      </w:pPr>
      <w:r>
        <w:lastRenderedPageBreak/>
        <w:t>Revision Version 1.3</w:t>
      </w:r>
      <w:r>
        <w:br/>
        <w:t>Bitten Aagaard Jensen, Christina Mikkelsen, Rune Larsen, Mie Topholm Bruun, Sys Hasslund, Louise Ørnskov Drechsler</w:t>
      </w:r>
    </w:p>
    <w:p w14:paraId="7548243F" w14:textId="77777777" w:rsidR="005A0D2F" w:rsidRDefault="005A0D2F" w:rsidP="005A0D2F">
      <w:pPr>
        <w:spacing w:line="240" w:lineRule="auto"/>
      </w:pPr>
    </w:p>
    <w:p w14:paraId="3271DECF" w14:textId="25072A88" w:rsidR="005A0D2F" w:rsidRDefault="005A0D2F" w:rsidP="005A0D2F">
      <w:pPr>
        <w:spacing w:line="240" w:lineRule="auto"/>
      </w:pPr>
    </w:p>
    <w:p w14:paraId="108C647C" w14:textId="29B0B068" w:rsidR="00E0754E" w:rsidRPr="00E0754E" w:rsidRDefault="00E0754E" w:rsidP="00E0754E">
      <w:pPr>
        <w:pStyle w:val="Overskrift2"/>
        <w:rPr>
          <w:b/>
          <w:bCs/>
        </w:rPr>
      </w:pPr>
      <w:bookmarkStart w:id="1" w:name="_Toc170715513"/>
      <w:r w:rsidRPr="00E0754E">
        <w:rPr>
          <w:b/>
          <w:bCs/>
        </w:rPr>
        <w:t>Introduktion</w:t>
      </w:r>
      <w:bookmarkEnd w:id="1"/>
    </w:p>
    <w:p w14:paraId="0E2B2AD7" w14:textId="17AFF735" w:rsidR="00DB5AB6" w:rsidRDefault="00DB5AB6" w:rsidP="00DB5AB6">
      <w:r>
        <w:t>Bloddonation er sikkert og det er sjældent, at der opstår bivirkninger. Bivirkninger opstår ved ca. 1% af alle donationer og langt størstedelen er milde bivirkninger, som forsvinder inden for kort tid (ca. 99% er sværhedsgrad 1 eller 2)</w:t>
      </w:r>
      <w:r>
        <w:rPr>
          <w:rStyle w:val="Fodnotehenvisning"/>
        </w:rPr>
        <w:footnoteReference w:id="1"/>
      </w:r>
      <w:r>
        <w:t xml:space="preserve">. Alvorlige bivirkninger er sjældne. DSKI laver en årlig opgørelse af bivirkninger baseret på registreringerne i Prosang, som er tilgængelig på </w:t>
      </w:r>
      <w:proofErr w:type="spellStart"/>
      <w:r>
        <w:t>DSKI’s</w:t>
      </w:r>
      <w:proofErr w:type="spellEnd"/>
      <w:r>
        <w:t xml:space="preserve"> hjemmeside.</w:t>
      </w:r>
    </w:p>
    <w:p w14:paraId="47888F42" w14:textId="19421E48" w:rsidR="00E0754E" w:rsidRDefault="00E0754E">
      <w:r>
        <w:t>Denne v</w:t>
      </w:r>
      <w:r w:rsidRPr="00E0754E">
        <w:t>ejledning</w:t>
      </w:r>
      <w:r>
        <w:t xml:space="preserve"> er en samlet vejledning om bivirkning ved bloddonation og er henvendt til personale som håndterer bloddonorer. </w:t>
      </w:r>
    </w:p>
    <w:p w14:paraId="33A2D97F" w14:textId="57D59D29" w:rsidR="00E0754E" w:rsidRDefault="00E0754E">
      <w:r>
        <w:t xml:space="preserve">Vejledningen har fokus på god kommunikation mellem blodbank og donor og anbefaler </w:t>
      </w:r>
      <w:r w:rsidRPr="00E0754E">
        <w:t>information til donor, en beskrivelse af de enkelte bivirkninger vejledning til behandling og profylakse, en oversigt over arbejdsgangen ved indberetninger til</w:t>
      </w:r>
      <w:r>
        <w:t xml:space="preserve"> Styrelsen for Patientsikkerhed, </w:t>
      </w:r>
      <w:r w:rsidR="004A32FC">
        <w:t xml:space="preserve">information ang. </w:t>
      </w:r>
      <w:r>
        <w:t>ansøgning om erstatning ved</w:t>
      </w:r>
      <w:r w:rsidRPr="00E0754E">
        <w:t xml:space="preserve"> Patienterstatningen, samt en oversigt over koderne til registrering i Prosang inkl. en vejledning til anvendelse af disse.</w:t>
      </w:r>
      <w:r w:rsidR="002D3D9A">
        <w:t xml:space="preserve"> (Koder anvendt til registrering i </w:t>
      </w:r>
      <w:proofErr w:type="spellStart"/>
      <w:r w:rsidR="002D3D9A">
        <w:t>Blödflödet</w:t>
      </w:r>
      <w:proofErr w:type="spellEnd"/>
      <w:r w:rsidR="00B25F14">
        <w:t>,</w:t>
      </w:r>
      <w:r w:rsidR="002D3D9A">
        <w:t xml:space="preserve"> se version 1.2)</w:t>
      </w:r>
    </w:p>
    <w:p w14:paraId="7069E2CB" w14:textId="528F06E4" w:rsidR="00D04A65" w:rsidRDefault="00D04A65"/>
    <w:p w14:paraId="6FB0DC1F" w14:textId="77777777" w:rsidR="00F0634B" w:rsidRDefault="00F0634B"/>
    <w:p w14:paraId="4E59FDAE" w14:textId="41E432B5" w:rsidR="00EA4D9F" w:rsidRPr="00F912F8" w:rsidRDefault="00EA4D9F" w:rsidP="00EA4D9F">
      <w:pPr>
        <w:pStyle w:val="Overskrift2"/>
        <w:rPr>
          <w:b/>
          <w:bCs/>
        </w:rPr>
      </w:pPr>
      <w:bookmarkStart w:id="2" w:name="_Toc91156498"/>
      <w:bookmarkStart w:id="3" w:name="_Toc170715514"/>
      <w:r w:rsidRPr="00F912F8">
        <w:rPr>
          <w:b/>
          <w:bCs/>
        </w:rPr>
        <w:t>Definition</w:t>
      </w:r>
      <w:bookmarkEnd w:id="2"/>
      <w:bookmarkEnd w:id="3"/>
      <w:r w:rsidRPr="00F912F8">
        <w:rPr>
          <w:b/>
          <w:bCs/>
        </w:rPr>
        <w:t xml:space="preserve"> </w:t>
      </w:r>
    </w:p>
    <w:p w14:paraId="6D6AB348" w14:textId="36BA069B" w:rsidR="00E474E2" w:rsidRDefault="00E474E2" w:rsidP="00E474E2">
      <w:r>
        <w:t>B</w:t>
      </w:r>
      <w:r w:rsidR="002A63BB">
        <w:t>ivirkning</w:t>
      </w:r>
      <w:r>
        <w:rPr>
          <w:rStyle w:val="Fodnotehenvisning"/>
        </w:rPr>
        <w:footnoteReference w:id="2"/>
      </w:r>
      <w:r w:rsidR="002A63BB">
        <w:t xml:space="preserve">: </w:t>
      </w:r>
      <w:r>
        <w:t>Skade, komplikation eller gene hvor blod</w:t>
      </w:r>
      <w:r w:rsidR="00E0754E">
        <w:t>-,</w:t>
      </w:r>
      <w:r w:rsidR="00911E70">
        <w:t xml:space="preserve"> </w:t>
      </w:r>
      <w:proofErr w:type="spellStart"/>
      <w:r w:rsidR="00911E70">
        <w:t>trombocyt</w:t>
      </w:r>
      <w:proofErr w:type="spellEnd"/>
      <w:r w:rsidR="00E0754E">
        <w:t>-</w:t>
      </w:r>
      <w:r w:rsidR="00911E70">
        <w:t xml:space="preserve"> </w:t>
      </w:r>
      <w:r>
        <w:t>eller plasmadonation tilskrives betydning for bivirkningen. Bivirkninger kan opstå i direkte relation til tapningen, umiddelbart efter tapning eller i tiden efter tapning.</w:t>
      </w:r>
      <w:r w:rsidR="005E1A52">
        <w:t xml:space="preserve"> </w:t>
      </w:r>
      <w:r w:rsidR="005431CF">
        <w:t xml:space="preserve">Indeholdt i denne vejledning er et </w:t>
      </w:r>
      <w:r w:rsidR="00911E70">
        <w:t>afsnit om kategorisering</w:t>
      </w:r>
      <w:r w:rsidR="004A32FC">
        <w:t xml:space="preserve"> og </w:t>
      </w:r>
      <w:r w:rsidR="00911E70">
        <w:t>definition</w:t>
      </w:r>
      <w:r w:rsidR="004A32FC">
        <w:t xml:space="preserve"> af bivirkninger hos donorer.</w:t>
      </w:r>
    </w:p>
    <w:p w14:paraId="1D476DA8" w14:textId="31A4EC2A" w:rsidR="00E474E2" w:rsidRDefault="00E474E2" w:rsidP="00E474E2">
      <w:r>
        <w:t>Skader som opstår på vej til tapning regnes ikke som donorbivirkninger, men donor kan alligevel have ret til erstatning</w:t>
      </w:r>
      <w:r w:rsidR="005E1A52">
        <w:t>, se afsnittet "</w:t>
      </w:r>
      <w:r w:rsidR="004F1128">
        <w:t>A</w:t>
      </w:r>
      <w:r w:rsidR="005E1A52">
        <w:t>nsøgning om erstatning"</w:t>
      </w:r>
      <w:r>
        <w:t xml:space="preserve">. </w:t>
      </w:r>
    </w:p>
    <w:p w14:paraId="1F04D32A" w14:textId="6DE29BAC" w:rsidR="00E0754E" w:rsidRDefault="00E0754E" w:rsidP="00E474E2"/>
    <w:p w14:paraId="297B171D" w14:textId="77777777" w:rsidR="00CF4117" w:rsidRDefault="00CF4117" w:rsidP="00E474E2"/>
    <w:p w14:paraId="55FFC6FF" w14:textId="1DBF9A15" w:rsidR="00DB4552" w:rsidRDefault="00991B0C" w:rsidP="002F2595">
      <w:pPr>
        <w:pStyle w:val="Overskrift1"/>
      </w:pPr>
      <w:bookmarkStart w:id="4" w:name="_Toc91156499"/>
      <w:bookmarkStart w:id="5" w:name="_Toc170715515"/>
      <w:r>
        <w:t>Håndtering af d</w:t>
      </w:r>
      <w:r w:rsidR="002F2595">
        <w:t>onorbivirkninger</w:t>
      </w:r>
      <w:bookmarkEnd w:id="5"/>
      <w:r w:rsidR="002F2595">
        <w:t xml:space="preserve"> </w:t>
      </w:r>
    </w:p>
    <w:p w14:paraId="030DF0ED" w14:textId="77777777" w:rsidR="00C454EA" w:rsidRDefault="00C871CA" w:rsidP="00C871CA">
      <w:r>
        <w:t xml:space="preserve">Bivirkningen opdages enten ved observation i blodbanken, ved at donor oplyser om det, enten ved besøg i blodbanken eller efterfølgende. </w:t>
      </w:r>
    </w:p>
    <w:p w14:paraId="11F8874F" w14:textId="1B9FB21E" w:rsidR="00C871CA" w:rsidRDefault="00C871CA" w:rsidP="00C871CA">
      <w:r>
        <w:t xml:space="preserve">Når en bivirkning opstår, er der </w:t>
      </w:r>
      <w:r w:rsidR="00991B0C">
        <w:t>4</w:t>
      </w:r>
      <w:r>
        <w:t xml:space="preserve"> vigtige områder</w:t>
      </w:r>
      <w:r w:rsidR="00991B0C">
        <w:t xml:space="preserve"> der skal håndteres: </w:t>
      </w:r>
      <w:r>
        <w:t xml:space="preserve"> </w:t>
      </w:r>
    </w:p>
    <w:p w14:paraId="4BFB5EE7" w14:textId="436A045C" w:rsidR="00C871CA" w:rsidRDefault="00546177" w:rsidP="00C871CA">
      <w:pPr>
        <w:pStyle w:val="Opstilling-punkttegn"/>
      </w:pPr>
      <w:r>
        <w:lastRenderedPageBreak/>
        <w:t xml:space="preserve">Vurdering </w:t>
      </w:r>
      <w:r w:rsidR="00C871CA">
        <w:t>af bivirkningen</w:t>
      </w:r>
      <w:r>
        <w:t xml:space="preserve"> og evt. behandlings behov</w:t>
      </w:r>
      <w:r w:rsidR="00C871CA">
        <w:t xml:space="preserve"> </w:t>
      </w:r>
    </w:p>
    <w:p w14:paraId="140B1FBA" w14:textId="77777777" w:rsidR="00CF4117" w:rsidRDefault="00546177" w:rsidP="00CF4117">
      <w:pPr>
        <w:pStyle w:val="Opstilling-punkttegn"/>
      </w:pPr>
      <w:r>
        <w:t>Information til donor og kommunikation mellem blodbankspersonale og donor</w:t>
      </w:r>
    </w:p>
    <w:p w14:paraId="4B7029A5" w14:textId="77777777" w:rsidR="00AF5819" w:rsidRDefault="00991B0C" w:rsidP="00AF5819">
      <w:pPr>
        <w:pStyle w:val="Opstilling-punkttegn"/>
      </w:pPr>
      <w:r>
        <w:t>R</w:t>
      </w:r>
      <w:r w:rsidR="00C871CA">
        <w:t>egistrer</w:t>
      </w:r>
      <w:r>
        <w:t>ing</w:t>
      </w:r>
      <w:r w:rsidR="00C871CA">
        <w:t xml:space="preserve"> </w:t>
      </w:r>
      <w:r>
        <w:t xml:space="preserve">af bivirkningen </w:t>
      </w:r>
      <w:r w:rsidR="00C871CA">
        <w:t>i Prosang</w:t>
      </w:r>
      <w:r w:rsidR="00CF4117">
        <w:t xml:space="preserve"> og</w:t>
      </w:r>
      <w:r w:rsidR="00C871CA">
        <w:t xml:space="preserve"> </w:t>
      </w:r>
      <w:r>
        <w:t>evt.</w:t>
      </w:r>
      <w:r w:rsidR="00C871CA">
        <w:t xml:space="preserve"> indberet</w:t>
      </w:r>
      <w:r>
        <w:t>ning</w:t>
      </w:r>
      <w:r w:rsidR="00C871CA">
        <w:t xml:space="preserve"> til </w:t>
      </w:r>
      <w:r w:rsidR="00E55E24">
        <w:t>Styrelsen for Patientsikkerhed</w:t>
      </w:r>
      <w:r>
        <w:t>.</w:t>
      </w:r>
      <w:r w:rsidR="00E55E24">
        <w:t xml:space="preserve"> </w:t>
      </w:r>
      <w:r w:rsidR="00C871CA">
        <w:t xml:space="preserve"> </w:t>
      </w:r>
    </w:p>
    <w:p w14:paraId="13706F6F" w14:textId="1C5A7B94" w:rsidR="00AF5819" w:rsidRPr="00AF5819" w:rsidRDefault="004F1128" w:rsidP="00AF5819">
      <w:pPr>
        <w:pStyle w:val="Opstilling-punkttegn"/>
      </w:pPr>
      <w:r w:rsidRPr="00AF5819">
        <w:t xml:space="preserve">Donor </w:t>
      </w:r>
      <w:r w:rsidR="00860A41" w:rsidRPr="00AF5819">
        <w:t>kan</w:t>
      </w:r>
      <w:r w:rsidRPr="00AF5819">
        <w:t xml:space="preserve"> </w:t>
      </w:r>
      <w:r w:rsidR="00991B0C" w:rsidRPr="00AF5819">
        <w:t>have ret til erstatning for sin bivirkning</w:t>
      </w:r>
      <w:r w:rsidR="00AF5819" w:rsidRPr="00AF5819">
        <w:t>, se afsnittet ”Ansøgning om erstatning</w:t>
      </w:r>
      <w:r w:rsidR="00AF5819">
        <w:t>”.</w:t>
      </w:r>
    </w:p>
    <w:p w14:paraId="5604D8E7" w14:textId="0F7B5D76" w:rsidR="00DE1CCD" w:rsidRDefault="00DE1CCD" w:rsidP="00CF4117">
      <w:pPr>
        <w:pStyle w:val="Overskrift2"/>
      </w:pPr>
      <w:bookmarkStart w:id="6" w:name="_Toc170715516"/>
      <w:r>
        <w:t>Vurdering og behandling</w:t>
      </w:r>
      <w:r w:rsidR="004D1195">
        <w:t xml:space="preserve"> af donorbivirkninger</w:t>
      </w:r>
      <w:bookmarkEnd w:id="6"/>
    </w:p>
    <w:p w14:paraId="121C7CBD" w14:textId="36DEC46C" w:rsidR="00C871CA" w:rsidRDefault="004D1195" w:rsidP="00181775">
      <w:r>
        <w:t xml:space="preserve">Årsag, symptomer, behandling og prognose for de enkelte bivirkninger er omtalt senere i denne vejledning. For at sikre at relevante bivirkninger/skader vurderes af en læge anbefales det at en læge i blodbanken informeres, når donorer oplever bivirkninger med sværhedsgrad 2 eller større (se bilag 1 for opdeling i sværhedsgrader). </w:t>
      </w:r>
      <w:r w:rsidRPr="00CD49AE">
        <w:t xml:space="preserve">Forslag til hensigtsmæssig arbejdsgang for håndtering af bivirkning ved donation </w:t>
      </w:r>
      <w:r>
        <w:t>fremgår af</w:t>
      </w:r>
      <w:r w:rsidRPr="00CD49AE">
        <w:t xml:space="preserve"> bilag 2.</w:t>
      </w:r>
      <w:r w:rsidR="00CF4117">
        <w:t xml:space="preserve"> </w:t>
      </w:r>
      <w:r w:rsidR="00181775">
        <w:t xml:space="preserve">Hvis der skulle være behov for behandling af en </w:t>
      </w:r>
      <w:r w:rsidR="00F11343">
        <w:t>bivirkning,</w:t>
      </w:r>
      <w:r w:rsidR="00181775">
        <w:t xml:space="preserve"> er det blodbankens ansvar at foretage behandlingen eller at henvise til relevant behandling. Donor skal ikke henvises til egen læge. </w:t>
      </w:r>
      <w:r w:rsidR="00C871CA" w:rsidRPr="00C454EA">
        <w:rPr>
          <w:b/>
          <w:bCs/>
        </w:rPr>
        <w:t>Hvis donor henvises til ekstern behandling, er der aktuelt ikke et system der sikrer</w:t>
      </w:r>
      <w:r w:rsidR="00911E70" w:rsidRPr="00C454EA">
        <w:rPr>
          <w:b/>
          <w:bCs/>
        </w:rPr>
        <w:t>,</w:t>
      </w:r>
      <w:r w:rsidR="00C871CA" w:rsidRPr="00C454EA">
        <w:rPr>
          <w:b/>
          <w:bCs/>
        </w:rPr>
        <w:t xml:space="preserve"> at blodbankerne automatisk får epikriser fra behandlende læge eller reminder om opfølgning. Det er derfor vigtigt at donor oplyses om, selv at henvende sig til blodbanken</w:t>
      </w:r>
      <w:r w:rsidR="00911E70" w:rsidRPr="00C454EA">
        <w:rPr>
          <w:b/>
          <w:bCs/>
        </w:rPr>
        <w:t xml:space="preserve"> ved forværring eller vedvarende gener</w:t>
      </w:r>
      <w:r w:rsidR="002958CD" w:rsidRPr="00C454EA">
        <w:rPr>
          <w:b/>
          <w:bCs/>
        </w:rPr>
        <w:t xml:space="preserve"> samt efter afsluttet behandling</w:t>
      </w:r>
      <w:r w:rsidR="00C871CA">
        <w:t>.</w:t>
      </w:r>
    </w:p>
    <w:p w14:paraId="29AE5748" w14:textId="77777777" w:rsidR="00AF5819" w:rsidRDefault="00AF5819" w:rsidP="00181775">
      <w:r>
        <w:t>Donorer med en bivirkning sættes i pause til bivirkningen er væk. Skulle donor få varige gener af sin bivirkning udmeldes donor som udgangspunkt</w:t>
      </w:r>
    </w:p>
    <w:p w14:paraId="1BFF272A" w14:textId="77777777" w:rsidR="006E28EC" w:rsidRDefault="006E28EC" w:rsidP="00181775"/>
    <w:p w14:paraId="0D1B1E39" w14:textId="7C9CE252" w:rsidR="00EA4D9F" w:rsidRPr="00F912F8" w:rsidRDefault="00585013" w:rsidP="00EC3460">
      <w:pPr>
        <w:pStyle w:val="Overskrift2"/>
        <w:rPr>
          <w:b/>
          <w:bCs/>
        </w:rPr>
      </w:pPr>
      <w:bookmarkStart w:id="7" w:name="_Toc170715517"/>
      <w:bookmarkEnd w:id="4"/>
      <w:r w:rsidRPr="00F912F8">
        <w:rPr>
          <w:b/>
          <w:bCs/>
        </w:rPr>
        <w:t>I</w:t>
      </w:r>
      <w:r w:rsidR="00EA4D9F" w:rsidRPr="00F912F8">
        <w:rPr>
          <w:b/>
          <w:bCs/>
        </w:rPr>
        <w:t>nformation til donor</w:t>
      </w:r>
      <w:r w:rsidR="00181775" w:rsidRPr="00F912F8">
        <w:rPr>
          <w:b/>
          <w:bCs/>
        </w:rPr>
        <w:t>er med en bivirkning/skade</w:t>
      </w:r>
      <w:bookmarkEnd w:id="7"/>
    </w:p>
    <w:p w14:paraId="70E75A49" w14:textId="7D738B04" w:rsidR="002B555F" w:rsidRDefault="00DA7F3E" w:rsidP="00DA7F3E">
      <w:r>
        <w:t>Det</w:t>
      </w:r>
      <w:r w:rsidR="00EC3460">
        <w:t xml:space="preserve"> vigtigste er</w:t>
      </w:r>
      <w:r w:rsidR="003B14FD">
        <w:t xml:space="preserve">, at der en </w:t>
      </w:r>
      <w:r w:rsidR="00EC3460">
        <w:t xml:space="preserve">god kommunikation </w:t>
      </w:r>
      <w:r w:rsidR="003B14FD">
        <w:t>me</w:t>
      </w:r>
      <w:r w:rsidR="002B555F">
        <w:t>llem</w:t>
      </w:r>
      <w:r w:rsidR="00EC3460">
        <w:t xml:space="preserve"> donor</w:t>
      </w:r>
      <w:r w:rsidR="00FE1F65">
        <w:t xml:space="preserve"> og </w:t>
      </w:r>
      <w:r w:rsidR="002B555F">
        <w:t>blodbanken</w:t>
      </w:r>
      <w:r w:rsidR="00307485">
        <w:t>,</w:t>
      </w:r>
      <w:r w:rsidR="002B555F">
        <w:t xml:space="preserve"> samt </w:t>
      </w:r>
      <w:r w:rsidR="00D12489">
        <w:t xml:space="preserve">at </w:t>
      </w:r>
      <w:r w:rsidR="00FE1F65">
        <w:t xml:space="preserve">alle henvendelser </w:t>
      </w:r>
      <w:r w:rsidR="003B14FD">
        <w:t xml:space="preserve">behandles </w:t>
      </w:r>
      <w:r w:rsidR="00FE1F65">
        <w:t>seriøst og professionelt</w:t>
      </w:r>
      <w:r w:rsidR="00EC3460">
        <w:t>.</w:t>
      </w:r>
      <w:r w:rsidR="002B555F">
        <w:t xml:space="preserve"> </w:t>
      </w:r>
      <w:r w:rsidR="003B14FD">
        <w:t>Det betyder</w:t>
      </w:r>
      <w:r>
        <w:t xml:space="preserve"> at donor </w:t>
      </w:r>
      <w:r w:rsidR="003B14FD">
        <w:t xml:space="preserve">skal </w:t>
      </w:r>
      <w:r>
        <w:t>føle sig velinformeret</w:t>
      </w:r>
      <w:r w:rsidR="00EC3460">
        <w:t xml:space="preserve">, </w:t>
      </w:r>
      <w:r w:rsidR="003B14FD">
        <w:t xml:space="preserve">og have oplevelsen af at henvendelsen </w:t>
      </w:r>
      <w:r>
        <w:t>tage</w:t>
      </w:r>
      <w:r w:rsidR="003B14FD">
        <w:t>s</w:t>
      </w:r>
      <w:r>
        <w:t xml:space="preserve"> alvorligt og </w:t>
      </w:r>
      <w:r w:rsidR="003B14FD">
        <w:t xml:space="preserve">at </w:t>
      </w:r>
      <w:r>
        <w:t>der tages hånd om</w:t>
      </w:r>
      <w:r w:rsidR="008E5267">
        <w:t xml:space="preserve"> </w:t>
      </w:r>
      <w:r>
        <w:t>bivirkninge</w:t>
      </w:r>
      <w:r w:rsidR="003B14FD">
        <w:t>n</w:t>
      </w:r>
      <w:r>
        <w:t xml:space="preserve">. </w:t>
      </w:r>
      <w:r w:rsidR="00811CA9">
        <w:t xml:space="preserve">Selv </w:t>
      </w:r>
      <w:r w:rsidR="00D12489">
        <w:t xml:space="preserve">om </w:t>
      </w:r>
      <w:r w:rsidR="00811CA9">
        <w:t>bivirkninge</w:t>
      </w:r>
      <w:r w:rsidR="00D12489">
        <w:t>n</w:t>
      </w:r>
      <w:r w:rsidR="00811CA9">
        <w:t xml:space="preserve"> kan virke </w:t>
      </w:r>
      <w:r w:rsidR="00D12489">
        <w:t xml:space="preserve">harmløs, så </w:t>
      </w:r>
      <w:r w:rsidR="00811CA9">
        <w:t>kan de</w:t>
      </w:r>
      <w:r w:rsidR="00D12489">
        <w:t>n</w:t>
      </w:r>
      <w:r w:rsidR="00811CA9">
        <w:t xml:space="preserve"> være voldsom for donor og give anledning til bekymringer. God og professionel kommunikation </w:t>
      </w:r>
      <w:r w:rsidR="00EC3460">
        <w:t xml:space="preserve">kan forhindre mange </w:t>
      </w:r>
      <w:r w:rsidR="005C6DCE">
        <w:t xml:space="preserve">bekymringer og </w:t>
      </w:r>
      <w:r w:rsidR="00EC3460">
        <w:t>misforståelser. Det vil også øge sandsynligheden for at donor kommer igen.</w:t>
      </w:r>
      <w:r w:rsidR="002B555F">
        <w:t xml:space="preserve"> </w:t>
      </w:r>
      <w:r>
        <w:t>Det er en balancegang</w:t>
      </w:r>
      <w:r w:rsidR="00E8233B">
        <w:t xml:space="preserve"> imellem god donorservice og fastholdelse af donor i en sygdomstilstand. </w:t>
      </w:r>
      <w:r w:rsidR="005C6DCE">
        <w:t>Det er individuelt hvordan donor oplever og håndterer bivirkninger.</w:t>
      </w:r>
    </w:p>
    <w:p w14:paraId="4ABD8A94" w14:textId="61F185ED" w:rsidR="002B555F" w:rsidRDefault="002B555F" w:rsidP="00DA7F3E">
      <w:r>
        <w:t xml:space="preserve">Donor skal informeres, men ikke alarmeres. </w:t>
      </w:r>
    </w:p>
    <w:p w14:paraId="5C7261B7" w14:textId="7B3CAE24" w:rsidR="00DA7F3E" w:rsidRDefault="002B555F" w:rsidP="00DA7F3E">
      <w:r>
        <w:t>E</w:t>
      </w:r>
      <w:r w:rsidR="00F6244E">
        <w:t>ksempel på god donor information</w:t>
      </w:r>
      <w:r w:rsidR="00EC3460">
        <w:t xml:space="preserve">: </w:t>
      </w:r>
    </w:p>
    <w:p w14:paraId="2B7BDB11" w14:textId="33D54243" w:rsidR="00EC3460" w:rsidRDefault="00811CA9" w:rsidP="00631190">
      <w:pPr>
        <w:pStyle w:val="Opstilling-punkttegn"/>
      </w:pPr>
      <w:r>
        <w:t>En forklaring på</w:t>
      </w:r>
      <w:r w:rsidR="00D12489">
        <w:t xml:space="preserve"> hvad</w:t>
      </w:r>
      <w:r>
        <w:t xml:space="preserve"> </w:t>
      </w:r>
      <w:r w:rsidR="008C213A">
        <w:t>årsagen til bivirkningen</w:t>
      </w:r>
      <w:r w:rsidR="00D12489">
        <w:t xml:space="preserve"> er</w:t>
      </w:r>
      <w:r w:rsidR="008C213A">
        <w:t xml:space="preserve"> (se </w:t>
      </w:r>
      <w:r w:rsidR="002B555F">
        <w:t>beskrivelse af alle bivirkninger senere i dette dokument</w:t>
      </w:r>
      <w:r w:rsidR="008C213A">
        <w:t>)</w:t>
      </w:r>
    </w:p>
    <w:p w14:paraId="00B13AFE" w14:textId="4C7578C4" w:rsidR="00DA7F3E" w:rsidRDefault="00D12489" w:rsidP="00631190">
      <w:pPr>
        <w:pStyle w:val="Opstilling-punkttegn"/>
      </w:pPr>
      <w:r>
        <w:t>Information om at generne</w:t>
      </w:r>
      <w:r w:rsidR="00F6244E">
        <w:t xml:space="preserve"> ikke</w:t>
      </w:r>
      <w:r>
        <w:t xml:space="preserve"> </w:t>
      </w:r>
      <w:r w:rsidR="00DA7F3E">
        <w:t>bliver værr</w:t>
      </w:r>
      <w:r w:rsidR="008C213A">
        <w:t>e</w:t>
      </w:r>
      <w:r w:rsidR="00811CA9">
        <w:t>. Vi forventer</w:t>
      </w:r>
      <w:r>
        <w:t xml:space="preserve">, at </w:t>
      </w:r>
      <w:r w:rsidR="00811CA9">
        <w:t>det bliver bedre</w:t>
      </w:r>
      <w:r w:rsidR="00C94DA9">
        <w:t>.</w:t>
      </w:r>
    </w:p>
    <w:p w14:paraId="40792798" w14:textId="34D5A551" w:rsidR="00AE21B6" w:rsidRDefault="002E13E2" w:rsidP="00631190">
      <w:pPr>
        <w:pStyle w:val="Opstilling-punkttegn"/>
      </w:pPr>
      <w:r>
        <w:t>Information om h</w:t>
      </w:r>
      <w:r w:rsidR="008C213A">
        <w:t xml:space="preserve">vornår donor kan forvente </w:t>
      </w:r>
      <w:r w:rsidR="00404EB1">
        <w:t xml:space="preserve">at generne/symptomerne </w:t>
      </w:r>
      <w:r w:rsidR="008E5267">
        <w:t>forsvinder</w:t>
      </w:r>
      <w:r w:rsidR="00AE21B6">
        <w:t xml:space="preserve">. </w:t>
      </w:r>
      <w:r w:rsidR="00083A1E">
        <w:t xml:space="preserve">For nerveirritation/-skade kan tilføjes: Det kan tage lang tid, op til måneder, men donor vil langsomt mærke bedring. </w:t>
      </w:r>
    </w:p>
    <w:p w14:paraId="713E5FB1" w14:textId="48358E8C" w:rsidR="00DA7F3E" w:rsidRPr="00C848BA" w:rsidRDefault="00EC3460" w:rsidP="00631190">
      <w:pPr>
        <w:pStyle w:val="Opstilling-punkttegn"/>
      </w:pPr>
      <w:r>
        <w:t xml:space="preserve">Hvis ikke </w:t>
      </w:r>
      <w:r w:rsidR="00083A1E">
        <w:t>generne/symptomerne</w:t>
      </w:r>
      <w:r w:rsidR="008C213A">
        <w:t xml:space="preserve"> forsvinder</w:t>
      </w:r>
      <w:r w:rsidR="00404EB1">
        <w:t>,</w:t>
      </w:r>
      <w:r w:rsidR="008C213A">
        <w:t xml:space="preserve"> eller </w:t>
      </w:r>
      <w:r w:rsidR="003050BF">
        <w:t xml:space="preserve">hvis de </w:t>
      </w:r>
      <w:r w:rsidR="008C213A">
        <w:t>bliver værre</w:t>
      </w:r>
      <w:r w:rsidR="00404EB1">
        <w:t>,</w:t>
      </w:r>
      <w:r w:rsidR="008C213A">
        <w:t xml:space="preserve"> </w:t>
      </w:r>
      <w:r>
        <w:t>skal d</w:t>
      </w:r>
      <w:r w:rsidR="008C213A">
        <w:t>onor</w:t>
      </w:r>
      <w:r>
        <w:t xml:space="preserve"> henvende </w:t>
      </w:r>
      <w:r w:rsidR="008C213A">
        <w:t>s</w:t>
      </w:r>
      <w:r>
        <w:t>ig til blodbanken</w:t>
      </w:r>
      <w:r w:rsidR="008C213A">
        <w:t>.</w:t>
      </w:r>
      <w:r>
        <w:t xml:space="preserve"> </w:t>
      </w:r>
      <w:r w:rsidR="00AE21B6">
        <w:t>Oplever donor akut forværring</w:t>
      </w:r>
      <w:r w:rsidR="0075110F">
        <w:t xml:space="preserve"> uden for blodbankens åbningstid</w:t>
      </w:r>
      <w:r w:rsidR="00C848BA">
        <w:t>, og som ikke kan afvente næstkommende hverdag</w:t>
      </w:r>
      <w:r w:rsidR="00F7321B" w:rsidRPr="00C848BA">
        <w:t>, skal donor kontak</w:t>
      </w:r>
      <w:r w:rsidR="00083A1E" w:rsidRPr="00C848BA">
        <w:t>te vagtlæge</w:t>
      </w:r>
      <w:r w:rsidR="0075110F" w:rsidRPr="00C848BA">
        <w:t>.</w:t>
      </w:r>
      <w:r w:rsidR="00083A1E" w:rsidRPr="00C848BA">
        <w:t xml:space="preserve"> </w:t>
      </w:r>
      <w:r w:rsidR="0075110F" w:rsidRPr="00C848BA">
        <w:t>Ved</w:t>
      </w:r>
      <w:r w:rsidR="00083A1E" w:rsidRPr="00C848BA">
        <w:t xml:space="preserve"> livstruende</w:t>
      </w:r>
      <w:r w:rsidR="0075110F" w:rsidRPr="00C848BA">
        <w:t xml:space="preserve"> symptomer skal donor altid</w:t>
      </w:r>
      <w:r w:rsidR="00083A1E" w:rsidRPr="00C848BA">
        <w:t xml:space="preserve"> ringe 112. </w:t>
      </w:r>
    </w:p>
    <w:p w14:paraId="71084C64" w14:textId="244B4D9D" w:rsidR="00E8233B" w:rsidRDefault="00E8233B" w:rsidP="00631190">
      <w:pPr>
        <w:pStyle w:val="Opstilling-punkttegn"/>
      </w:pPr>
      <w:r>
        <w:t>Ved henvisning til ekstern behandling/undersøgelse: Information om at henvende sig hvis de efter ca. 1 mdr. ikke de modtager en indkaldelse fra afdelingen som de henvist til</w:t>
      </w:r>
      <w:r w:rsidR="00C454EA">
        <w:t xml:space="preserve"> og altid efter afsluttet behandling/undersøgelse i andet regi end blodbanken</w:t>
      </w:r>
      <w:r>
        <w:t>.</w:t>
      </w:r>
    </w:p>
    <w:p w14:paraId="77ED3F59" w14:textId="6680235E" w:rsidR="00F7321B" w:rsidRDefault="00F7321B" w:rsidP="00F7321B">
      <w:pPr>
        <w:pStyle w:val="Opstilling-punkttegn"/>
        <w:numPr>
          <w:ilvl w:val="0"/>
          <w:numId w:val="0"/>
        </w:numPr>
        <w:ind w:left="360"/>
      </w:pPr>
    </w:p>
    <w:p w14:paraId="1C4F75E5" w14:textId="508200B9" w:rsidR="00C716BE" w:rsidRDefault="00C716BE" w:rsidP="00C716BE">
      <w:pPr>
        <w:pStyle w:val="Opstilling-punkttegn"/>
        <w:numPr>
          <w:ilvl w:val="0"/>
          <w:numId w:val="0"/>
        </w:numPr>
        <w:ind w:left="360"/>
      </w:pPr>
    </w:p>
    <w:p w14:paraId="26629C1D" w14:textId="77777777" w:rsidR="00DB4552" w:rsidRDefault="00DB4552" w:rsidP="00C716BE">
      <w:pPr>
        <w:pStyle w:val="Opstilling-punkttegn"/>
        <w:numPr>
          <w:ilvl w:val="0"/>
          <w:numId w:val="0"/>
        </w:numPr>
        <w:ind w:left="360"/>
      </w:pPr>
    </w:p>
    <w:p w14:paraId="68A98BD0" w14:textId="77777777" w:rsidR="00F0634B" w:rsidRPr="00181775" w:rsidRDefault="00F0634B" w:rsidP="00C716BE">
      <w:pPr>
        <w:pStyle w:val="Opstilling-punkttegn"/>
        <w:numPr>
          <w:ilvl w:val="0"/>
          <w:numId w:val="0"/>
        </w:numPr>
        <w:ind w:left="360"/>
      </w:pPr>
    </w:p>
    <w:p w14:paraId="73365A9B" w14:textId="4E024EA1" w:rsidR="00DB4552" w:rsidRPr="00F912F8" w:rsidRDefault="00DE1CCD" w:rsidP="00DB4552">
      <w:pPr>
        <w:pStyle w:val="Overskrift2"/>
        <w:rPr>
          <w:b/>
          <w:bCs/>
        </w:rPr>
      </w:pPr>
      <w:bookmarkStart w:id="8" w:name="_Toc170715518"/>
      <w:r>
        <w:rPr>
          <w:b/>
          <w:bCs/>
        </w:rPr>
        <w:t>R</w:t>
      </w:r>
      <w:r w:rsidR="00DB4552">
        <w:rPr>
          <w:b/>
          <w:bCs/>
        </w:rPr>
        <w:t>egistrering og indberetning af bivirkninger</w:t>
      </w:r>
      <w:bookmarkEnd w:id="8"/>
    </w:p>
    <w:p w14:paraId="073EE446" w14:textId="13CD173E" w:rsidR="00DB4552" w:rsidRDefault="00DB4552" w:rsidP="00DB4552">
      <w:r>
        <w:t>Alle bivirkninger (skader, komplikationer, gener) med relation til bloddonation eller mistanke herom registreres efter herunder oplistede nationale retningslinjer for kodning af bivirkningskategori, sværhedsgrad og graden af sikkerhed for årsagssammenhæng med bloddonationen</w:t>
      </w:r>
      <w:r w:rsidR="00C404D5">
        <w:t>.</w:t>
      </w:r>
      <w:r>
        <w:t xml:space="preserve"> </w:t>
      </w:r>
    </w:p>
    <w:p w14:paraId="12C7FD91" w14:textId="0666001E" w:rsidR="00DB4552" w:rsidRDefault="00DB4552" w:rsidP="00DB4552">
      <w:r>
        <w:t>Bivirkningen registreres i Prosang som en kode bestående af tre tegn i følgende rækkefølge: et bogstav for bivirkningskategori (tabel 1), et tal for sværhedsgraden (tabel 2) og et tal for årsagssammenhængen (tabel 3). Tabellerne fremgår af bilag 1.</w:t>
      </w:r>
    </w:p>
    <w:p w14:paraId="1D5756A1" w14:textId="2B3DB5AD" w:rsidR="00DB4552" w:rsidRDefault="00DB4552" w:rsidP="00DB4552">
      <w:r>
        <w:t xml:space="preserve">Ved bivirkninger af sværhedsgrad 2 eller derover anbefales at blodbankens læge </w:t>
      </w:r>
      <w:r w:rsidR="00C404D5">
        <w:t xml:space="preserve">orienteres </w:t>
      </w:r>
      <w:r w:rsidR="00DE1CCD">
        <w:t>(se forslag til hensigtsmæssig arbejdsgang bilag 2)</w:t>
      </w:r>
      <w:r>
        <w:t xml:space="preserve"> og lægen noterer følgende i donorjournalen: </w:t>
      </w:r>
    </w:p>
    <w:p w14:paraId="3AA325BF" w14:textId="77777777" w:rsidR="00DB4552" w:rsidRPr="0042193D" w:rsidRDefault="00DB4552" w:rsidP="00DB4552">
      <w:pPr>
        <w:pStyle w:val="Opstilling-punkttegn"/>
      </w:pPr>
      <w:r w:rsidRPr="0042193D">
        <w:t>bivirkningsdato</w:t>
      </w:r>
    </w:p>
    <w:p w14:paraId="1FEBE043" w14:textId="77777777" w:rsidR="00DB4552" w:rsidRPr="0042193D" w:rsidRDefault="00DB4552" w:rsidP="00DB4552">
      <w:pPr>
        <w:pStyle w:val="Opstilling-punkttegn"/>
      </w:pPr>
      <w:r w:rsidRPr="0042193D">
        <w:t>Kort forløbsbeskrivelse</w:t>
      </w:r>
    </w:p>
    <w:p w14:paraId="370735F2" w14:textId="77777777" w:rsidR="00DB4552" w:rsidRPr="0042193D" w:rsidRDefault="00DB4552" w:rsidP="00DB4552">
      <w:pPr>
        <w:pStyle w:val="Opstilling-punkttegn"/>
      </w:pPr>
      <w:r>
        <w:t>b</w:t>
      </w:r>
      <w:r w:rsidRPr="0042193D">
        <w:t xml:space="preserve">eslutning -/+ om behov for yderligere </w:t>
      </w:r>
      <w:proofErr w:type="spellStart"/>
      <w:r w:rsidRPr="0042193D">
        <w:t>beh</w:t>
      </w:r>
      <w:proofErr w:type="spellEnd"/>
      <w:r w:rsidRPr="0042193D">
        <w:t>. Hvis ekstern behandling hvem der har ansvaret for at følge den op.</w:t>
      </w:r>
    </w:p>
    <w:p w14:paraId="2AAD42F5" w14:textId="77777777" w:rsidR="00DB4552" w:rsidRPr="0042193D" w:rsidRDefault="00DB4552" w:rsidP="00DB4552">
      <w:pPr>
        <w:pStyle w:val="Opstilling-punkttegn"/>
      </w:pPr>
      <w:r>
        <w:t>l</w:t>
      </w:r>
      <w:r w:rsidRPr="0042193D">
        <w:t>æge initialer</w:t>
      </w:r>
    </w:p>
    <w:p w14:paraId="53EE73C4" w14:textId="77777777" w:rsidR="00DB4552" w:rsidRDefault="00DB4552" w:rsidP="00DB4552">
      <w:r w:rsidRPr="00EE3CAC">
        <w:t>Komplikationer af sværhedsgrad 3-5 anmeldes til Styrelsen for Patientsikkerhed.</w:t>
      </w:r>
    </w:p>
    <w:p w14:paraId="7DDBF9F8" w14:textId="64756EC1" w:rsidR="00DB4552" w:rsidRDefault="00E82E45" w:rsidP="00DB4552">
      <w:r>
        <w:t>B</w:t>
      </w:r>
      <w:r w:rsidR="00DB4552">
        <w:t>ivirkningen kan opstå under tapning, efter tapning</w:t>
      </w:r>
      <w:r>
        <w:t>,</w:t>
      </w:r>
      <w:r w:rsidR="00DB4552">
        <w:t xml:space="preserve"> </w:t>
      </w:r>
      <w:r>
        <w:t xml:space="preserve">eller </w:t>
      </w:r>
      <w:r w:rsidR="00DB4552">
        <w:t>efter donor har forladt blodbanken</w:t>
      </w:r>
      <w:r>
        <w:t xml:space="preserve">. Ved registrering vurderes </w:t>
      </w:r>
      <w:r w:rsidR="00DB4552">
        <w:t>sværhedsgraden og årsagssammenhængen</w:t>
      </w:r>
      <w:r>
        <w:t xml:space="preserve">.  </w:t>
      </w:r>
      <w:proofErr w:type="gramStart"/>
      <w:r>
        <w:t>Såfremt</w:t>
      </w:r>
      <w:proofErr w:type="gramEnd"/>
      <w:r>
        <w:t xml:space="preserve"> der </w:t>
      </w:r>
      <w:r w:rsidR="00F94A3B">
        <w:t>tilkommer oplysninger som ændre</w:t>
      </w:r>
      <w:r w:rsidR="00C404D5">
        <w:t>r</w:t>
      </w:r>
      <w:r w:rsidR="00F94A3B">
        <w:t xml:space="preserve"> den initiale vurdering,</w:t>
      </w:r>
      <w:r>
        <w:t xml:space="preserve"> </w:t>
      </w:r>
      <w:r w:rsidR="00F94A3B">
        <w:t>foretages</w:t>
      </w:r>
      <w:r>
        <w:t xml:space="preserve"> en opfølgende registrering</w:t>
      </w:r>
      <w:r w:rsidR="00F94A3B">
        <w:t xml:space="preserve"> med </w:t>
      </w:r>
      <w:proofErr w:type="spellStart"/>
      <w:r w:rsidR="00F94A3B">
        <w:t>re-vurdering</w:t>
      </w:r>
      <w:proofErr w:type="spellEnd"/>
      <w:r w:rsidR="00F94A3B">
        <w:t xml:space="preserve"> af sværhedsgrad, årsagssammenhæng og evt. type</w:t>
      </w:r>
      <w:r w:rsidR="00DB4552">
        <w:t xml:space="preserve"> </w:t>
      </w:r>
    </w:p>
    <w:p w14:paraId="0AC49CA1" w14:textId="76001CAD" w:rsidR="00CF4117" w:rsidRDefault="00CF4117" w:rsidP="00DB4552">
      <w:r>
        <w:t xml:space="preserve">Det er væsentligt at sikre en opfølgning på donorer mhp. korrekt registrering fx donorer, som oplever langvarige symptomer eller henvises til </w:t>
      </w:r>
      <w:r w:rsidR="002A0F2F">
        <w:t>behandling</w:t>
      </w:r>
      <w:r>
        <w:t>, da det kan betyde at sværhedsgrad evt. skal ændres fra 2 til 3 såfremt donor stadig oplever symptomer efter 6 måneder (se tabel 2 i bilag 1). Der er ikke en automatik der sikrer at blodbanken får en tilbagemelding.</w:t>
      </w:r>
    </w:p>
    <w:p w14:paraId="7D591321" w14:textId="0600BD85" w:rsidR="00BD2F3D" w:rsidRDefault="00BD2F3D" w:rsidP="00DB4552">
      <w:r w:rsidRPr="00D03EF4">
        <w:t xml:space="preserve">Alvorlige kardiovaskulære events eller død kan opstå i perioden efter bloddonation. Dette kan have relation til tapningen, men det kan også opstå uden egentlig relation til tapningen. Alvorlige bivirkninger registreres i </w:t>
      </w:r>
      <w:r w:rsidR="00D03EF4">
        <w:t>Prosang,</w:t>
      </w:r>
      <w:r w:rsidRPr="00D03EF4">
        <w:t xml:space="preserve"> hvis de opstår indenfor 24 timer efter bloddonation og/eller hvis årsagssammenhængen vurderes til mulig, sandsynlig eller sikker. Anmeldelse til Styrelsen for Patientsikkerhed skal kun foretages såfremt årsagssammenhængen vurderes til mulig, sandsynlig eller sikker.</w:t>
      </w:r>
    </w:p>
    <w:p w14:paraId="2D705357" w14:textId="77777777" w:rsidR="00DB4552" w:rsidRDefault="00DB4552" w:rsidP="00DB4552"/>
    <w:p w14:paraId="4939E9A0" w14:textId="18CD0FE8" w:rsidR="00DB4552" w:rsidRPr="00F912F8" w:rsidRDefault="00DB4552" w:rsidP="00DB4552">
      <w:pPr>
        <w:pStyle w:val="Overskrift2"/>
        <w:rPr>
          <w:b/>
          <w:bCs/>
        </w:rPr>
      </w:pPr>
      <w:bookmarkStart w:id="9" w:name="_Toc170715519"/>
      <w:r>
        <w:rPr>
          <w:b/>
          <w:bCs/>
        </w:rPr>
        <w:t>Ansøgning om erstatning</w:t>
      </w:r>
      <w:bookmarkEnd w:id="9"/>
    </w:p>
    <w:p w14:paraId="627F5D31" w14:textId="02010B1C" w:rsidR="00C404D5" w:rsidRPr="00C404D5" w:rsidRDefault="00C404D5" w:rsidP="00C404D5">
      <w:r w:rsidRPr="00C404D5">
        <w:t xml:space="preserve">Bloddonorer, der </w:t>
      </w:r>
      <w:r>
        <w:t xml:space="preserve">pådrager sig </w:t>
      </w:r>
      <w:r w:rsidRPr="00C404D5">
        <w:t>bivirkning med sværhedsgrad 3</w:t>
      </w:r>
      <w:r>
        <w:t xml:space="preserve"> og derover anbefales</w:t>
      </w:r>
      <w:r w:rsidRPr="00C404D5">
        <w:t xml:space="preserve"> at søge anerkendelse og erstatning hos Patienterstatningen. </w:t>
      </w:r>
      <w:r w:rsidR="00DB6CF5" w:rsidRPr="00DB6CF5">
        <w:t xml:space="preserve">Donorer med grad 2 bivirkninger kan orienteres om samme mulighed, </w:t>
      </w:r>
      <w:r w:rsidR="00DB6CF5">
        <w:t>hvis</w:t>
      </w:r>
      <w:r w:rsidR="00DB6CF5" w:rsidRPr="00DB6CF5">
        <w:t xml:space="preserve"> det vurderes relevant.</w:t>
      </w:r>
      <w:r w:rsidRPr="00C404D5">
        <w:t xml:space="preserve"> Hos Patienterstatningen vurderes om donor er berettiget til erstatning. Ansøgningen foretages af donor selv via Patienterstatningens hjemmeside. Udlever evt. pjecen "Skade ved bloddonation".</w:t>
      </w:r>
    </w:p>
    <w:p w14:paraId="6AF1635E" w14:textId="77777777" w:rsidR="00DB4552" w:rsidRDefault="00DB4552" w:rsidP="00F912F8">
      <w:pPr>
        <w:pStyle w:val="Overskrift2"/>
        <w:rPr>
          <w:b/>
          <w:bCs/>
        </w:rPr>
        <w:sectPr w:rsidR="00DB4552">
          <w:footerReference w:type="default" r:id="rId8"/>
          <w:pgSz w:w="11906" w:h="16838"/>
          <w:pgMar w:top="1701" w:right="1134" w:bottom="1701" w:left="1134" w:header="708" w:footer="708" w:gutter="0"/>
          <w:cols w:space="708"/>
          <w:docGrid w:linePitch="360"/>
        </w:sectPr>
      </w:pPr>
    </w:p>
    <w:p w14:paraId="39748DD9" w14:textId="2AAB1F1B" w:rsidR="00DB4552" w:rsidRDefault="00DB4552" w:rsidP="002F2595">
      <w:pPr>
        <w:pStyle w:val="Overskrift1"/>
      </w:pPr>
      <w:bookmarkStart w:id="10" w:name="_Toc170715520"/>
      <w:r w:rsidRPr="00DB4552">
        <w:lastRenderedPageBreak/>
        <w:t xml:space="preserve">Donorbivirkninger </w:t>
      </w:r>
      <w:r>
        <w:t>–</w:t>
      </w:r>
      <w:r w:rsidRPr="00DB4552">
        <w:t xml:space="preserve"> </w:t>
      </w:r>
      <w:r>
        <w:t xml:space="preserve">forebyggelse, </w:t>
      </w:r>
      <w:r w:rsidRPr="00DB4552">
        <w:t>årsager, symptomer, fund, behandling og prognose</w:t>
      </w:r>
      <w:bookmarkEnd w:id="10"/>
    </w:p>
    <w:p w14:paraId="7ACA8CE9" w14:textId="478CC712" w:rsidR="00DB4552" w:rsidRDefault="00DB4552" w:rsidP="00DB4552"/>
    <w:p w14:paraId="6864DB1C" w14:textId="1288FD02" w:rsidR="00DB4552" w:rsidRPr="00F912F8" w:rsidRDefault="00DB4552" w:rsidP="00DB4552">
      <w:pPr>
        <w:pStyle w:val="Overskrift2"/>
        <w:rPr>
          <w:b/>
          <w:bCs/>
        </w:rPr>
      </w:pPr>
      <w:bookmarkStart w:id="11" w:name="_Toc170715521"/>
      <w:r>
        <w:rPr>
          <w:b/>
          <w:bCs/>
        </w:rPr>
        <w:t>Forebyggelse af</w:t>
      </w:r>
      <w:r w:rsidRPr="00F912F8">
        <w:rPr>
          <w:b/>
          <w:bCs/>
        </w:rPr>
        <w:t xml:space="preserve"> bivirkninger</w:t>
      </w:r>
      <w:bookmarkEnd w:id="11"/>
    </w:p>
    <w:p w14:paraId="0036B324" w14:textId="77777777" w:rsidR="00DB4552" w:rsidRDefault="00DB4552" w:rsidP="00DB4552">
      <w:r>
        <w:t>Donorbivirkninger kan påvirke donors helbred samt have betydning for om donor kommer igen. De bør derfor forebygges bedst muligt</w:t>
      </w:r>
      <w:r>
        <w:rPr>
          <w:rStyle w:val="Fodnotehenvisning"/>
        </w:rPr>
        <w:footnoteReference w:id="3"/>
      </w:r>
      <w:r>
        <w:t>.</w:t>
      </w:r>
    </w:p>
    <w:p w14:paraId="4D832A1E" w14:textId="77777777" w:rsidR="00DB4552" w:rsidRDefault="00DB4552" w:rsidP="00DB4552">
      <w:pPr>
        <w:pStyle w:val="Undertitel"/>
      </w:pPr>
      <w:proofErr w:type="spellStart"/>
      <w:r>
        <w:t>Karskader</w:t>
      </w:r>
      <w:proofErr w:type="spellEnd"/>
      <w:r>
        <w:t xml:space="preserve"> (</w:t>
      </w:r>
      <w:proofErr w:type="spellStart"/>
      <w:r>
        <w:t>Hæmatomer</w:t>
      </w:r>
      <w:proofErr w:type="spellEnd"/>
      <w:r>
        <w:t xml:space="preserve">, </w:t>
      </w:r>
      <w:proofErr w:type="spellStart"/>
      <w:r>
        <w:t>reblødning</w:t>
      </w:r>
      <w:proofErr w:type="spellEnd"/>
      <w:r>
        <w:t>, arteriepunktur)</w:t>
      </w:r>
    </w:p>
    <w:p w14:paraId="3BF3AA06" w14:textId="77777777" w:rsidR="00DB4552" w:rsidRDefault="00DB4552" w:rsidP="00DB4552">
      <w:r>
        <w:t xml:space="preserve">Kan forebygges effektivt, ved manuelt at blokere indstiksstedet i karret efter nålen tages ud.  Det gøres ved, at donor eleverer armen, når nålen tages ud, samtidig med, at donor komprimerer indstiksstedet med en </w:t>
      </w:r>
      <w:proofErr w:type="spellStart"/>
      <w:r>
        <w:t>vattot</w:t>
      </w:r>
      <w:proofErr w:type="spellEnd"/>
      <w:r>
        <w:t xml:space="preserve"> i 5 min. Efterfølgende kontrolleres, at der er </w:t>
      </w:r>
      <w:proofErr w:type="spellStart"/>
      <w:r>
        <w:t>hæmostase</w:t>
      </w:r>
      <w:proofErr w:type="spellEnd"/>
      <w:r>
        <w:t xml:space="preserve">. </w:t>
      </w:r>
    </w:p>
    <w:p w14:paraId="0DCE8A57" w14:textId="77777777" w:rsidR="00DB4552" w:rsidRDefault="00DB4552" w:rsidP="00DB4552">
      <w:r>
        <w:t xml:space="preserve">Man kan også vælge at lægge en selvklæbende gaze hen over vattotten, som en mild form for komprimering. Alternativt kan der anlægges et tryk/dialyseplaster eller en decideret komprimerende forbinding. Dette kan vælges såfremt, at der er risiko for </w:t>
      </w:r>
      <w:proofErr w:type="spellStart"/>
      <w:r>
        <w:t>hæmatom</w:t>
      </w:r>
      <w:proofErr w:type="spellEnd"/>
      <w:r>
        <w:t xml:space="preserve"> eller </w:t>
      </w:r>
      <w:proofErr w:type="spellStart"/>
      <w:r>
        <w:t>reblødning</w:t>
      </w:r>
      <w:proofErr w:type="spellEnd"/>
      <w:r>
        <w:t>. Det kan f.eks. være i forbindelse med længerevarende donationer/hvor nålen sidder i armen i længere tid (</w:t>
      </w:r>
      <w:proofErr w:type="spellStart"/>
      <w:r>
        <w:t>afereser</w:t>
      </w:r>
      <w:proofErr w:type="spellEnd"/>
      <w:r>
        <w:t xml:space="preserve">), ved flergangsdonorer, som har dannet arvæv ved indstikssted, hvis man er i tvivl om </w:t>
      </w:r>
      <w:proofErr w:type="spellStart"/>
      <w:r>
        <w:t>hæmostase</w:t>
      </w:r>
      <w:proofErr w:type="spellEnd"/>
      <w:r>
        <w:t xml:space="preserve">, eller hvis donor tidligere har oplevet tilfælde af </w:t>
      </w:r>
      <w:proofErr w:type="spellStart"/>
      <w:r>
        <w:t>reblødning</w:t>
      </w:r>
      <w:proofErr w:type="spellEnd"/>
      <w:r>
        <w:t xml:space="preserve"> eller ved fejlstik.</w:t>
      </w:r>
    </w:p>
    <w:p w14:paraId="479DDD22" w14:textId="77777777" w:rsidR="00DB4552" w:rsidRDefault="00DB4552" w:rsidP="00DB4552">
      <w:r>
        <w:t xml:space="preserve">Donor bør undgå at anvende armen til hårdt fysisk arbejde eller sport i mindst 4-6 timer efter donation for at undgå at ”hullet” i karret bryder op. </w:t>
      </w:r>
    </w:p>
    <w:p w14:paraId="0E393DAB" w14:textId="77777777" w:rsidR="00DB4552" w:rsidRDefault="00DB4552" w:rsidP="00DB4552">
      <w:r>
        <w:t>Arteriepunktur kan ikke forebygges. Pga. individuelle anatomiske forskelle kan det ske uanset hvor omhyggelig man er.</w:t>
      </w:r>
    </w:p>
    <w:p w14:paraId="44FF7434" w14:textId="77777777" w:rsidR="00DB4552" w:rsidRDefault="00DB4552" w:rsidP="00DB4552">
      <w:pPr>
        <w:pStyle w:val="Undertitel"/>
      </w:pPr>
      <w:r>
        <w:t>Nerveirritation/nerveskade/anden smerte</w:t>
      </w:r>
    </w:p>
    <w:p w14:paraId="1719D9BE" w14:textId="77777777" w:rsidR="00DB4552" w:rsidRPr="005A4DA2" w:rsidRDefault="00DB4552" w:rsidP="00DB4552">
      <w:r w:rsidRPr="005A4DA2">
        <w:t>Kanylen skal føres ind i venen ved et glat og hurtigt indstik, parallelt med venen med en indstiksvinkel på 5 - 10 grader. Ved manglende flow (nålespidsen kan ligge ved en veneklap eller suge sig fast på indersiden af karvæggen) kan man forsøge let tilbagetrækning af kanylen (maximalt 1-2 mm), eventuelt samtidig med let rotation af nålen. Vinklen på nålen må ikke ændres fraset placering af lidt vat eller lignende under nålen. Anden manipulation må aldrig foretages</w:t>
      </w:r>
      <w:r>
        <w:t xml:space="preserve"> og</w:t>
      </w:r>
      <w:r w:rsidRPr="005A4DA2">
        <w:t xml:space="preserve"> </w:t>
      </w:r>
      <w:r>
        <w:t>n</w:t>
      </w:r>
      <w:r w:rsidRPr="005A4DA2">
        <w:t>ålen må aldrig føres længere frem.</w:t>
      </w:r>
    </w:p>
    <w:p w14:paraId="55C3023F" w14:textId="77777777" w:rsidR="00DB4552" w:rsidRPr="005A4DA2" w:rsidRDefault="00DB4552" w:rsidP="00DB4552">
      <w:r w:rsidRPr="005A4DA2">
        <w:t xml:space="preserve">Såfremt det ikke lykkes at få </w:t>
      </w:r>
      <w:r>
        <w:t xml:space="preserve">tilstrækkeligt </w:t>
      </w:r>
      <w:r w:rsidRPr="005A4DA2">
        <w:t xml:space="preserve">flow af blod, skal tapning opgives i denne arm. Tapning kan forsøges i den anden arm, hvis donor samtykker. </w:t>
      </w:r>
    </w:p>
    <w:p w14:paraId="353A1BE1" w14:textId="77777777" w:rsidR="00DB4552" w:rsidRPr="005A4DA2" w:rsidRDefault="00DB4552" w:rsidP="00DB4552">
      <w:r w:rsidRPr="005A4DA2">
        <w:t>Ligegyldig hvor omhyggelig man er, kan risikoen for nerveskade/-irritation ikke elimineres. Anatomien er forskellig fra donor til donor og nerver ligger ofte omkring karrene. Derfor er det vigtigt, at donor instrueres i at sige til, såfremt der kommer skarpe, jagende smerter med udstråling eller føleforstyrrelser. Er det tilfældet skal nålen straks fjernes, så påvirkningen af nerven bliver så kort som muligt.</w:t>
      </w:r>
    </w:p>
    <w:p w14:paraId="114C5D49" w14:textId="77EDBB8E" w:rsidR="00DB4552" w:rsidRDefault="00DB4552" w:rsidP="00DB4552">
      <w:r w:rsidRPr="005A4DA2">
        <w:t xml:space="preserve">Det er ligeledes vigtigt at man i blodbanken italesætter, at man ikke </w:t>
      </w:r>
      <w:r>
        <w:t xml:space="preserve">altid </w:t>
      </w:r>
      <w:r w:rsidRPr="005A4DA2">
        <w:t>kan ramme karret. Uanset hvor dygtig man er, vil man have dage/tidspunkter, hvor man ikke kan ramme rigtig. Man må ikke føle det som et nederlag og føle sig presset til at korrigere nålen.</w:t>
      </w:r>
    </w:p>
    <w:p w14:paraId="39A36521" w14:textId="77777777" w:rsidR="00DB4552" w:rsidRPr="005A4DA2" w:rsidRDefault="00DB4552" w:rsidP="00DB4552">
      <w:pPr>
        <w:pStyle w:val="Undertitel"/>
      </w:pPr>
      <w:proofErr w:type="spellStart"/>
      <w:r>
        <w:lastRenderedPageBreak/>
        <w:t>Vasovagale</w:t>
      </w:r>
      <w:proofErr w:type="spellEnd"/>
      <w:r>
        <w:t xml:space="preserve"> tilfælde og besvimelser</w:t>
      </w:r>
    </w:p>
    <w:p w14:paraId="4C6B71E3" w14:textId="77777777" w:rsidR="00DB4552" w:rsidRPr="005A4DA2" w:rsidRDefault="00DB4552" w:rsidP="00DB4552">
      <w:r w:rsidRPr="005A4DA2">
        <w:t xml:space="preserve">Risikofaktorer er ung alder, førstegangsdonorer samt lav vægt. Forebyggelse kan ske ved væskeindtag </w:t>
      </w:r>
      <w:r>
        <w:t xml:space="preserve">og </w:t>
      </w:r>
      <w:r w:rsidRPr="005A4DA2">
        <w:t>muskel</w:t>
      </w:r>
      <w:r>
        <w:t>tensions</w:t>
      </w:r>
      <w:r w:rsidRPr="005A4DA2">
        <w:t>øvelser</w:t>
      </w:r>
      <w:r>
        <w:rPr>
          <w:rStyle w:val="Fodnotehenvisning"/>
        </w:rPr>
        <w:footnoteReference w:id="4"/>
      </w:r>
      <w:r w:rsidRPr="005A4DA2">
        <w:t xml:space="preserve">, </w:t>
      </w:r>
      <w:r>
        <w:t xml:space="preserve">ved </w:t>
      </w:r>
      <w:r w:rsidRPr="005A4DA2">
        <w:t xml:space="preserve">at donor føler sig veltilpas </w:t>
      </w:r>
      <w:r>
        <w:t xml:space="preserve">og </w:t>
      </w:r>
      <w:r w:rsidRPr="005A4DA2">
        <w:t xml:space="preserve">hviler på lejet </w:t>
      </w:r>
      <w:r>
        <w:t>efter donationen eller venter kortvarigt i venterummet (størstedelen sker 10-15 minutter efter nålen er fjernet</w:t>
      </w:r>
      <w:r>
        <w:rPr>
          <w:rStyle w:val="Fodnotehenvisning"/>
        </w:rPr>
        <w:footnoteReference w:id="5"/>
      </w:r>
      <w:r>
        <w:t xml:space="preserve">) </w:t>
      </w:r>
      <w:r w:rsidRPr="005A4DA2">
        <w:t xml:space="preserve">samt </w:t>
      </w:r>
      <w:r>
        <w:t xml:space="preserve">ved at </w:t>
      </w:r>
      <w:r w:rsidRPr="005A4DA2">
        <w:t>donationsvolumen</w:t>
      </w:r>
      <w:r>
        <w:t xml:space="preserve"> er </w:t>
      </w:r>
      <w:r w:rsidRPr="005A4DA2">
        <w:t>afstemt efter donors blodvolumen</w:t>
      </w:r>
      <w:r>
        <w:rPr>
          <w:rStyle w:val="Fodnotehenvisning"/>
        </w:rPr>
        <w:footnoteReference w:id="6"/>
      </w:r>
      <w:r w:rsidRPr="005A4DA2">
        <w:t>. Sidstnævnte er der taget hensyn til med de faste grænser for tappevolumen.</w:t>
      </w:r>
      <w:r>
        <w:t xml:space="preserve"> Derudover, forebygges </w:t>
      </w:r>
      <w:proofErr w:type="spellStart"/>
      <w:r>
        <w:t>vasovagale</w:t>
      </w:r>
      <w:proofErr w:type="spellEnd"/>
      <w:r>
        <w:t xml:space="preserve"> tilfælde og besvimelser ved </w:t>
      </w:r>
      <w:r w:rsidRPr="005A4DA2">
        <w:t xml:space="preserve">at donor føler sig veltilpas </w:t>
      </w:r>
      <w:r>
        <w:t xml:space="preserve">ved </w:t>
      </w:r>
      <w:r w:rsidRPr="005A4DA2">
        <w:t>god og venlig donorservice fra personalet</w:t>
      </w:r>
      <w:r>
        <w:rPr>
          <w:rStyle w:val="Fodnotehenvisning"/>
        </w:rPr>
        <w:footnoteReference w:id="7"/>
      </w:r>
      <w:r w:rsidRPr="005A4DA2">
        <w:t xml:space="preserve"> </w:t>
      </w:r>
    </w:p>
    <w:p w14:paraId="50FCF591" w14:textId="77777777" w:rsidR="00DB4552" w:rsidRPr="005A4DA2" w:rsidRDefault="00DB4552" w:rsidP="00DB4552">
      <w:proofErr w:type="spellStart"/>
      <w:r w:rsidRPr="005A4DA2">
        <w:t>Vasovagale</w:t>
      </w:r>
      <w:proofErr w:type="spellEnd"/>
      <w:r w:rsidRPr="005A4DA2">
        <w:t xml:space="preserve"> reaktioner er i høj grad betinget af utryghed. Det kan effektivt forebygges med god information forud for første donation, </w:t>
      </w:r>
      <w:r>
        <w:t xml:space="preserve">hvor der </w:t>
      </w:r>
      <w:r w:rsidRPr="005A4DA2">
        <w:t>både informere</w:t>
      </w:r>
      <w:r>
        <w:t>s</w:t>
      </w:r>
      <w:r w:rsidRPr="005A4DA2">
        <w:t xml:space="preserve"> om tappeproceduren og </w:t>
      </w:r>
      <w:r>
        <w:t xml:space="preserve">om </w:t>
      </w:r>
      <w:r w:rsidRPr="005A4DA2">
        <w:t xml:space="preserve">hvordan donor skal </w:t>
      </w:r>
      <w:r>
        <w:t>f</w:t>
      </w:r>
      <w:r w:rsidRPr="005A4DA2">
        <w:t>orberede sig. Hvis donor viser tegn på nervøsitet bør det åbent adresseres, så donor kan blive beroliget og eventuelt kan få ekstra væske eller lave muskel</w:t>
      </w:r>
      <w:r>
        <w:t>tensions</w:t>
      </w:r>
      <w:r w:rsidRPr="005A4DA2">
        <w:t>øvelser</w:t>
      </w:r>
      <w:r>
        <w:rPr>
          <w:rStyle w:val="Fodnotehenvisning"/>
        </w:rPr>
        <w:footnoteReference w:id="8"/>
      </w:r>
      <w:r>
        <w:rPr>
          <w:rStyle w:val="Fodnotehenvisning"/>
        </w:rPr>
        <w:footnoteReference w:id="9"/>
      </w:r>
      <w:r>
        <w:rPr>
          <w:rStyle w:val="Fodnotehenvisning"/>
        </w:rPr>
        <w:footnoteReference w:id="10"/>
      </w:r>
      <w:r w:rsidRPr="005A4DA2">
        <w:t>.</w:t>
      </w:r>
    </w:p>
    <w:p w14:paraId="1365AF4B" w14:textId="7307684E" w:rsidR="00DB4552" w:rsidRDefault="00DB4552" w:rsidP="00DB4552">
      <w:r w:rsidRPr="005A4DA2">
        <w:t xml:space="preserve">Det er vigtigt, at donor føler sig veltilpas, inden de forlader blodbanken for at undgå sene </w:t>
      </w:r>
      <w:proofErr w:type="spellStart"/>
      <w:r w:rsidRPr="005A4DA2">
        <w:t>vasovagale</w:t>
      </w:r>
      <w:proofErr w:type="spellEnd"/>
      <w:r w:rsidRPr="005A4DA2">
        <w:t xml:space="preserve"> reaktioner, når donor fx </w:t>
      </w:r>
      <w:r>
        <w:t>færdes</w:t>
      </w:r>
      <w:r w:rsidRPr="005A4DA2">
        <w:t xml:space="preserve"> i trafikken. Donorer, </w:t>
      </w:r>
      <w:r w:rsidR="0019762E" w:rsidRPr="0019762E">
        <w:t>hvis arbejdet betyder at besvimelse eller svimmelhed kan have alvorlige konsekvenser</w:t>
      </w:r>
      <w:r w:rsidRPr="005A4DA2">
        <w:t>, må derfor heller ikke gå tilbage til arbejde før 24 timer efter donationen</w:t>
      </w:r>
      <w:r w:rsidR="0019762E">
        <w:t xml:space="preserve"> </w:t>
      </w:r>
    </w:p>
    <w:p w14:paraId="18963018" w14:textId="552ECCCE" w:rsidR="0018278F" w:rsidRPr="00DB4552" w:rsidRDefault="0018278F" w:rsidP="00DB4552"/>
    <w:p w14:paraId="12932EC3" w14:textId="608AA4AD" w:rsidR="00DB4552" w:rsidRDefault="00DB4552" w:rsidP="00F912F8">
      <w:pPr>
        <w:pStyle w:val="Overskrift2"/>
        <w:rPr>
          <w:b/>
          <w:bCs/>
        </w:rPr>
      </w:pPr>
    </w:p>
    <w:p w14:paraId="78413A03" w14:textId="3075347E" w:rsidR="00F912F8" w:rsidRPr="00F912F8" w:rsidRDefault="00006CEB" w:rsidP="00F912F8">
      <w:pPr>
        <w:pStyle w:val="Overskrift2"/>
        <w:rPr>
          <w:b/>
          <w:bCs/>
        </w:rPr>
      </w:pPr>
      <w:bookmarkStart w:id="12" w:name="_Toc170715522"/>
      <w:proofErr w:type="spellStart"/>
      <w:r w:rsidRPr="00F912F8">
        <w:rPr>
          <w:b/>
          <w:bCs/>
        </w:rPr>
        <w:t>Hæmatom</w:t>
      </w:r>
      <w:bookmarkEnd w:id="12"/>
      <w:proofErr w:type="spellEnd"/>
    </w:p>
    <w:p w14:paraId="68EB0ED3" w14:textId="51B31619" w:rsidR="00006CEB" w:rsidRDefault="00556985" w:rsidP="00F912F8">
      <w:pPr>
        <w:pStyle w:val="Undertitel"/>
      </w:pPr>
      <w:bookmarkStart w:id="13" w:name="_Hlk94082474"/>
      <w:r>
        <w:t>Årsag, symptomer og objektive fund</w:t>
      </w:r>
      <w:bookmarkEnd w:id="13"/>
    </w:p>
    <w:p w14:paraId="5C0989AE" w14:textId="54EDD54C" w:rsidR="00EA4D9F" w:rsidRDefault="00176BD9">
      <w:r>
        <w:t xml:space="preserve">Et </w:t>
      </w:r>
      <w:proofErr w:type="spellStart"/>
      <w:r>
        <w:t>h</w:t>
      </w:r>
      <w:r w:rsidR="00006CEB">
        <w:t>æmatom</w:t>
      </w:r>
      <w:proofErr w:type="spellEnd"/>
      <w:r w:rsidR="00CE1157">
        <w:t xml:space="preserve"> </w:t>
      </w:r>
      <w:r w:rsidR="0080020F">
        <w:t xml:space="preserve">skyldes udsivning af blod til det omkringliggende væv og </w:t>
      </w:r>
      <w:r w:rsidR="00006CEB">
        <w:t xml:space="preserve">er den hyppigste lokale bivirkning. </w:t>
      </w:r>
      <w:r>
        <w:t xml:space="preserve">Hvis </w:t>
      </w:r>
      <w:proofErr w:type="spellStart"/>
      <w:r>
        <w:t>hæmatomet</w:t>
      </w:r>
      <w:proofErr w:type="spellEnd"/>
      <w:r>
        <w:t xml:space="preserve"> er overfladisk kan man se</w:t>
      </w:r>
      <w:r w:rsidR="00006CEB">
        <w:t xml:space="preserve"> en misfarvning</w:t>
      </w:r>
      <w:r>
        <w:t xml:space="preserve"> af huden</w:t>
      </w:r>
      <w:r w:rsidR="00006CEB">
        <w:t xml:space="preserve">. Ved store </w:t>
      </w:r>
      <w:proofErr w:type="spellStart"/>
      <w:r w:rsidR="00006CEB">
        <w:t>hæmatomer</w:t>
      </w:r>
      <w:proofErr w:type="spellEnd"/>
      <w:r w:rsidR="00006CEB">
        <w:t xml:space="preserve"> ses der også hævelse, som kan</w:t>
      </w:r>
      <w:r w:rsidR="00CE1157">
        <w:t xml:space="preserve"> </w:t>
      </w:r>
      <w:r w:rsidR="00006CEB">
        <w:t xml:space="preserve">give anledning til lokal smerte </w:t>
      </w:r>
      <w:r w:rsidR="00E8233B">
        <w:t>pga.</w:t>
      </w:r>
      <w:r w:rsidR="00006CEB">
        <w:t xml:space="preserve"> tryk på omkringliggende strukturer. Et </w:t>
      </w:r>
      <w:proofErr w:type="spellStart"/>
      <w:r w:rsidR="00006CEB">
        <w:t>hæmatom</w:t>
      </w:r>
      <w:proofErr w:type="spellEnd"/>
      <w:r w:rsidR="00006CEB">
        <w:t xml:space="preserve"> kan i </w:t>
      </w:r>
      <w:r w:rsidR="0080020F">
        <w:t xml:space="preserve">meget </w:t>
      </w:r>
      <w:r w:rsidR="00006CEB">
        <w:t xml:space="preserve">sjældne tilfælde kompliceres af et </w:t>
      </w:r>
      <w:proofErr w:type="spellStart"/>
      <w:r w:rsidR="00006CEB">
        <w:t>kompartmentsyndrom</w:t>
      </w:r>
      <w:proofErr w:type="spellEnd"/>
      <w:r w:rsidR="0080020F">
        <w:t>, hvor blodforsyningen til</w:t>
      </w:r>
      <w:r w:rsidR="0026218F">
        <w:t xml:space="preserve"> involverede</w:t>
      </w:r>
      <w:r w:rsidR="0080020F">
        <w:t xml:space="preserve"> muskler</w:t>
      </w:r>
      <w:r w:rsidR="0026218F">
        <w:t xml:space="preserve"> vil være truet</w:t>
      </w:r>
      <w:r w:rsidR="00815453">
        <w:t xml:space="preserve">. </w:t>
      </w:r>
      <w:r w:rsidR="00006CEB">
        <w:t>Her vil donor have en voldsom hævet arm og stærke smerter</w:t>
      </w:r>
      <w:r w:rsidR="0026218F">
        <w:t>,</w:t>
      </w:r>
      <w:r w:rsidR="00006CEB">
        <w:t xml:space="preserve"> som kan </w:t>
      </w:r>
      <w:r w:rsidR="00370104">
        <w:t xml:space="preserve">stråle </w:t>
      </w:r>
      <w:r w:rsidR="00006CEB">
        <w:t xml:space="preserve">ned i hånden/fingrene </w:t>
      </w:r>
      <w:r w:rsidR="00E8233B">
        <w:t>pga.</w:t>
      </w:r>
      <w:r w:rsidR="00006CEB">
        <w:t xml:space="preserve"> tryk på nerverne. Et </w:t>
      </w:r>
      <w:proofErr w:type="spellStart"/>
      <w:r w:rsidR="00006CEB">
        <w:t>hæmatom</w:t>
      </w:r>
      <w:proofErr w:type="spellEnd"/>
      <w:r w:rsidR="00006CEB">
        <w:t xml:space="preserve"> kan også udvikle sig til nerveirritation, se senere.</w:t>
      </w:r>
      <w:r w:rsidR="00CE1157">
        <w:t xml:space="preserve"> </w:t>
      </w:r>
      <w:proofErr w:type="spellStart"/>
      <w:r w:rsidR="00CE1157">
        <w:t>Hæmatomer</w:t>
      </w:r>
      <w:proofErr w:type="spellEnd"/>
      <w:r w:rsidR="00CE1157">
        <w:t xml:space="preserve"> kan være dybere</w:t>
      </w:r>
      <w:r w:rsidR="008D0A44">
        <w:t xml:space="preserve"> </w:t>
      </w:r>
      <w:r w:rsidR="00CE1157">
        <w:t xml:space="preserve">liggende og dermed hverken synlige eller </w:t>
      </w:r>
      <w:proofErr w:type="spellStart"/>
      <w:r w:rsidR="00CE1157">
        <w:t>palpaple</w:t>
      </w:r>
      <w:proofErr w:type="spellEnd"/>
      <w:r w:rsidR="00CE1157">
        <w:t>. I de tilfælde skal de registreres i forhold til de symptomer de giver, typisk nerveirritation. Giver de ingen symptomer skal de ikke registreres.</w:t>
      </w:r>
    </w:p>
    <w:p w14:paraId="16A0917D" w14:textId="2421A7E8" w:rsidR="00006CEB" w:rsidRDefault="00006CEB" w:rsidP="00F912F8">
      <w:pPr>
        <w:pStyle w:val="Undertitel"/>
      </w:pPr>
      <w:bookmarkStart w:id="14" w:name="_Hlk94082514"/>
      <w:r>
        <w:lastRenderedPageBreak/>
        <w:t>Behandling</w:t>
      </w:r>
      <w:r w:rsidR="00370104">
        <w:t xml:space="preserve"> og prognose</w:t>
      </w:r>
      <w:bookmarkEnd w:id="14"/>
    </w:p>
    <w:p w14:paraId="1B03A4B6" w14:textId="431CAEB5" w:rsidR="00EE7679" w:rsidRDefault="008C213A">
      <w:r>
        <w:t xml:space="preserve">Forsvinder typisk inden for 1-3 uger. </w:t>
      </w:r>
      <w:r w:rsidR="00C716BE">
        <w:t xml:space="preserve">Er der opstået et stort </w:t>
      </w:r>
      <w:proofErr w:type="spellStart"/>
      <w:r w:rsidR="00C716BE">
        <w:t>palpapel</w:t>
      </w:r>
      <w:r w:rsidR="00860A41">
        <w:t>t</w:t>
      </w:r>
      <w:proofErr w:type="spellEnd"/>
      <w:r w:rsidR="00C716BE">
        <w:t xml:space="preserve"> </w:t>
      </w:r>
      <w:proofErr w:type="spellStart"/>
      <w:r w:rsidR="00C716BE">
        <w:t>hæmatom</w:t>
      </w:r>
      <w:proofErr w:type="spellEnd"/>
      <w:r w:rsidR="00C716BE">
        <w:t xml:space="preserve"> og donor har smerter, bør d</w:t>
      </w:r>
      <w:r w:rsidR="00585013">
        <w:t xml:space="preserve">onor undgå at anvende armen til </w:t>
      </w:r>
      <w:r w:rsidR="00FE1F65">
        <w:t xml:space="preserve">hårdt </w:t>
      </w:r>
      <w:r w:rsidR="00585013">
        <w:t xml:space="preserve">fysisk arbejde eller sport i </w:t>
      </w:r>
      <w:r w:rsidR="00C716BE">
        <w:t>et døgn</w:t>
      </w:r>
      <w:r w:rsidR="00FE1F65">
        <w:t xml:space="preserve"> </w:t>
      </w:r>
      <w:r w:rsidR="00585013">
        <w:t>for at undgå at ”hullet” i karret bryder op</w:t>
      </w:r>
      <w:r w:rsidR="00FE1F65">
        <w:t>.</w:t>
      </w:r>
      <w:r w:rsidR="00EE7679">
        <w:t xml:space="preserve"> </w:t>
      </w:r>
      <w:r w:rsidR="002958CD">
        <w:t xml:space="preserve">Donor bør ikke immobilisere armen. </w:t>
      </w:r>
    </w:p>
    <w:p w14:paraId="2D5AF43D" w14:textId="4ABC76E9" w:rsidR="00C716BE" w:rsidRDefault="00C716BE">
      <w:r>
        <w:t xml:space="preserve">Ved dybere liggende </w:t>
      </w:r>
      <w:proofErr w:type="spellStart"/>
      <w:r>
        <w:t>hæmatomer</w:t>
      </w:r>
      <w:proofErr w:type="spellEnd"/>
      <w:r>
        <w:t xml:space="preserve">, kan </w:t>
      </w:r>
      <w:proofErr w:type="spellStart"/>
      <w:r>
        <w:t>hæmatomet</w:t>
      </w:r>
      <w:proofErr w:type="spellEnd"/>
      <w:r>
        <w:t xml:space="preserve"> få et ”plettet” udseende med elementer af forskellige alder i takt med at armen bruges og </w:t>
      </w:r>
      <w:proofErr w:type="spellStart"/>
      <w:r>
        <w:t>hæmatomet</w:t>
      </w:r>
      <w:proofErr w:type="spellEnd"/>
      <w:r>
        <w:t xml:space="preserve"> ”arbejdes ud” i det subkutane væv. </w:t>
      </w:r>
    </w:p>
    <w:p w14:paraId="472D09ED" w14:textId="18C49E72" w:rsidR="00EA4D9F" w:rsidRDefault="00C716BE">
      <w:r>
        <w:t xml:space="preserve">Der er i litteraturen angivet </w:t>
      </w:r>
      <w:r w:rsidR="00860A41">
        <w:t xml:space="preserve">flere </w:t>
      </w:r>
      <w:r>
        <w:t>mulige behandling</w:t>
      </w:r>
      <w:r w:rsidR="00860A41">
        <w:t>er</w:t>
      </w:r>
      <w:r>
        <w:t xml:space="preserve"> af </w:t>
      </w:r>
      <w:proofErr w:type="spellStart"/>
      <w:r>
        <w:t>hæmatomer</w:t>
      </w:r>
      <w:proofErr w:type="spellEnd"/>
      <w:r>
        <w:t xml:space="preserve"> som fx ultralyd, NSAI</w:t>
      </w:r>
      <w:r w:rsidR="00E854B2">
        <w:t>D-</w:t>
      </w:r>
      <w:r>
        <w:t>gel</w:t>
      </w:r>
      <w:r w:rsidR="00860A41">
        <w:t xml:space="preserve"> og</w:t>
      </w:r>
      <w:r>
        <w:t xml:space="preserve"> </w:t>
      </w:r>
      <w:proofErr w:type="spellStart"/>
      <w:r>
        <w:t>hirudoid</w:t>
      </w:r>
      <w:proofErr w:type="spellEnd"/>
      <w:r>
        <w:t xml:space="preserve"> ge</w:t>
      </w:r>
      <w:r w:rsidR="00E854B2">
        <w:t>l</w:t>
      </w:r>
      <w:r>
        <w:t xml:space="preserve">. </w:t>
      </w:r>
      <w:proofErr w:type="spellStart"/>
      <w:r>
        <w:t>Hæmovigilance</w:t>
      </w:r>
      <w:proofErr w:type="spellEnd"/>
      <w:r w:rsidR="00307485">
        <w:t>-</w:t>
      </w:r>
      <w:r>
        <w:t>udvalget vil gennemgå evidensen og komme med en anbefaling til næstkommende revisioner</w:t>
      </w:r>
      <w:r w:rsidR="00E854B2">
        <w:t>.</w:t>
      </w:r>
    </w:p>
    <w:p w14:paraId="0CF495BC" w14:textId="7456056F" w:rsidR="00EE7679" w:rsidRDefault="00EE7679">
      <w:r>
        <w:t xml:space="preserve">Ved mistanke om </w:t>
      </w:r>
      <w:proofErr w:type="spellStart"/>
      <w:r>
        <w:t>kompartment</w:t>
      </w:r>
      <w:r w:rsidR="00370104">
        <w:t>syndrom</w:t>
      </w:r>
      <w:proofErr w:type="spellEnd"/>
      <w:r w:rsidR="00370104">
        <w:t xml:space="preserve"> skal donor henvises akut </w:t>
      </w:r>
      <w:r>
        <w:t>til ortopædkirurg</w:t>
      </w:r>
      <w:r w:rsidR="00370104">
        <w:t>isk afdeling.</w:t>
      </w:r>
    </w:p>
    <w:p w14:paraId="56577B78" w14:textId="34506501" w:rsidR="00585013" w:rsidRDefault="00585013"/>
    <w:p w14:paraId="0B3FA49E" w14:textId="77777777" w:rsidR="00796612" w:rsidRDefault="00796612"/>
    <w:p w14:paraId="3186C44E" w14:textId="30EB29A6" w:rsidR="00585013" w:rsidRPr="00F912F8" w:rsidRDefault="00585013" w:rsidP="00585013">
      <w:pPr>
        <w:pStyle w:val="Overskrift2"/>
        <w:rPr>
          <w:b/>
          <w:bCs/>
        </w:rPr>
      </w:pPr>
      <w:bookmarkStart w:id="15" w:name="_Toc170715523"/>
      <w:proofErr w:type="spellStart"/>
      <w:r w:rsidRPr="00F912F8">
        <w:rPr>
          <w:b/>
          <w:bCs/>
        </w:rPr>
        <w:t>Reblødning</w:t>
      </w:r>
      <w:proofErr w:type="spellEnd"/>
      <w:r w:rsidRPr="00F912F8">
        <w:rPr>
          <w:b/>
          <w:bCs/>
        </w:rPr>
        <w:t>/forsinket blødning</w:t>
      </w:r>
      <w:bookmarkEnd w:id="15"/>
    </w:p>
    <w:p w14:paraId="19F72B2F" w14:textId="0473FD23" w:rsidR="00585013" w:rsidRDefault="00556985" w:rsidP="00F912F8">
      <w:pPr>
        <w:pStyle w:val="Undertitel"/>
      </w:pPr>
      <w:r>
        <w:t xml:space="preserve">Årsag, symptomer og objektive fund </w:t>
      </w:r>
    </w:p>
    <w:p w14:paraId="3A406365" w14:textId="49FF27D9" w:rsidR="00585013" w:rsidRPr="00585013" w:rsidRDefault="00B6172E" w:rsidP="00585013">
      <w:r>
        <w:t xml:space="preserve">Opstår fordi ”hullet” i karret </w:t>
      </w:r>
      <w:r w:rsidR="00FD68BC">
        <w:t>springer op</w:t>
      </w:r>
      <w:r>
        <w:t xml:space="preserve">. Den </w:t>
      </w:r>
      <w:r w:rsidR="00370104">
        <w:t>blodstørkning,</w:t>
      </w:r>
      <w:r>
        <w:t xml:space="preserve"> som umiddelbart opstår efter en </w:t>
      </w:r>
      <w:r w:rsidR="008D0A44">
        <w:t>karlæsion,</w:t>
      </w:r>
      <w:r>
        <w:t xml:space="preserve"> er ustabil og der kan derfor gå ”hul” i karret igen og det vil bløde fra indstiksstedet. </w:t>
      </w:r>
      <w:r w:rsidR="005A4DA2">
        <w:t xml:space="preserve">Hvis donor har doneret mange gange og </w:t>
      </w:r>
      <w:r w:rsidR="00860A41">
        <w:t xml:space="preserve">er </w:t>
      </w:r>
      <w:r w:rsidR="005A4DA2">
        <w:t xml:space="preserve">stukket samme sted mange gange, dannes der arvæv i indstiksstedet. </w:t>
      </w:r>
    </w:p>
    <w:p w14:paraId="7AFCA72B" w14:textId="53302A62" w:rsidR="00585013" w:rsidRDefault="00556985" w:rsidP="00F912F8">
      <w:pPr>
        <w:pStyle w:val="Undertitel"/>
      </w:pPr>
      <w:r w:rsidRPr="00556985">
        <w:t>Behandling og prognose</w:t>
      </w:r>
    </w:p>
    <w:p w14:paraId="01D19DF1" w14:textId="5DC33F6F" w:rsidR="00585013" w:rsidRDefault="004D1E2A" w:rsidP="00585013">
      <w:r>
        <w:t>Fornyet kompression og anlæggelse</w:t>
      </w:r>
      <w:r w:rsidR="007D0CC6">
        <w:t xml:space="preserve"> en forbinding/komprimerende forbinding</w:t>
      </w:r>
      <w:r w:rsidR="008D0A44">
        <w:t xml:space="preserve"> (se beskrivelse i afsnit om ”profylakse”)</w:t>
      </w:r>
      <w:r>
        <w:t>. Forsinkede blødninger er ufarlige, men kan opleves voldsomme for donorerne</w:t>
      </w:r>
      <w:r w:rsidR="001A32B3">
        <w:t xml:space="preserve">. </w:t>
      </w:r>
    </w:p>
    <w:p w14:paraId="470FD02B" w14:textId="50096F87" w:rsidR="00E8233B" w:rsidRDefault="00E8233B" w:rsidP="00585013"/>
    <w:p w14:paraId="15088003" w14:textId="77777777" w:rsidR="00F0634B" w:rsidRDefault="00F0634B" w:rsidP="00585013"/>
    <w:p w14:paraId="603F1B84" w14:textId="77480E62" w:rsidR="00556985" w:rsidRPr="00F912F8" w:rsidRDefault="00556985" w:rsidP="00556985">
      <w:pPr>
        <w:pStyle w:val="Overskrift2"/>
        <w:rPr>
          <w:b/>
          <w:bCs/>
        </w:rPr>
      </w:pPr>
      <w:bookmarkStart w:id="16" w:name="_Toc170715524"/>
      <w:r w:rsidRPr="00F912F8">
        <w:rPr>
          <w:b/>
          <w:bCs/>
        </w:rPr>
        <w:t>Arteriepunktur</w:t>
      </w:r>
      <w:bookmarkEnd w:id="16"/>
    </w:p>
    <w:p w14:paraId="700F8B77" w14:textId="7272282E" w:rsidR="00556985" w:rsidRDefault="00556985" w:rsidP="00F912F8">
      <w:pPr>
        <w:pStyle w:val="Undertitel"/>
      </w:pPr>
      <w:r>
        <w:t xml:space="preserve">Årsag, symptomer og objektive fund </w:t>
      </w:r>
    </w:p>
    <w:p w14:paraId="1F663F61" w14:textId="77777777" w:rsidR="00556985" w:rsidRPr="00585013" w:rsidRDefault="00556985" w:rsidP="00556985">
      <w:r>
        <w:t xml:space="preserve">Skyldes at man ved et uheld rammer arterien i stedet for venen. Det hyppigste symptom vil være, at tapningen forløber hurtigere end normalt (under 4 min). Nogle gange vil man kunne se, at blodet er lysere og/eller at nålen pulserer. </w:t>
      </w:r>
    </w:p>
    <w:p w14:paraId="336D78C0" w14:textId="3BAE8D72" w:rsidR="00556985" w:rsidRDefault="00556985" w:rsidP="00F912F8">
      <w:pPr>
        <w:pStyle w:val="Undertitel"/>
        <w:rPr>
          <w:rFonts w:eastAsiaTheme="majorEastAsia"/>
        </w:rPr>
      </w:pPr>
      <w:r w:rsidRPr="00556985">
        <w:rPr>
          <w:rFonts w:eastAsiaTheme="majorEastAsia"/>
        </w:rPr>
        <w:t xml:space="preserve">Behandling og prognose </w:t>
      </w:r>
    </w:p>
    <w:p w14:paraId="5D71F9B5" w14:textId="77777777" w:rsidR="0040743C" w:rsidRDefault="00556985" w:rsidP="00556985">
      <w:r>
        <w:t xml:space="preserve">Risikoen er ikke arteriepunktur i sig selv, men evt. komplikationer forbundet hertil. Ved mistanke om arteriepunktur, skal tapningen afbrydes med det samme. Opdages det først, når man har fået fyldt blodposen, skal blodet ikke kasseres, men må gerne bruges til patientbehandling. Komplikationer er </w:t>
      </w:r>
      <w:proofErr w:type="spellStart"/>
      <w:r>
        <w:t>reblødning</w:t>
      </w:r>
      <w:proofErr w:type="spellEnd"/>
      <w:r>
        <w:t xml:space="preserve"> og </w:t>
      </w:r>
      <w:proofErr w:type="spellStart"/>
      <w:r>
        <w:t>hæmatom</w:t>
      </w:r>
      <w:proofErr w:type="spellEnd"/>
      <w:r>
        <w:t>. For at undgå dette, følges samme behandling som for disse, dog intensiveret, dvs. d</w:t>
      </w:r>
      <w:r w:rsidRPr="007D0CC6">
        <w:t xml:space="preserve">onor skal elevere armen når nålen tages ud samtidig med at </w:t>
      </w:r>
      <w:r>
        <w:t>indstikssted</w:t>
      </w:r>
      <w:r w:rsidR="00860A41">
        <w:t>et komprimeres</w:t>
      </w:r>
      <w:r>
        <w:t xml:space="preserve"> med en </w:t>
      </w:r>
      <w:proofErr w:type="spellStart"/>
      <w:r>
        <w:t>vattot</w:t>
      </w:r>
      <w:proofErr w:type="spellEnd"/>
      <w:r w:rsidR="00E8233B">
        <w:t xml:space="preserve"> </w:t>
      </w:r>
      <w:r w:rsidR="00E8233B" w:rsidRPr="007D0CC6">
        <w:t xml:space="preserve">i </w:t>
      </w:r>
      <w:r w:rsidR="00E8233B">
        <w:t>15</w:t>
      </w:r>
      <w:r w:rsidR="00E8233B" w:rsidRPr="007D0CC6">
        <w:t xml:space="preserve"> min</w:t>
      </w:r>
      <w:r w:rsidRPr="007D0CC6">
        <w:t>.</w:t>
      </w:r>
      <w:r>
        <w:t xml:space="preserve"> Efterfølgende </w:t>
      </w:r>
      <w:r w:rsidRPr="008D0A44">
        <w:rPr>
          <w:u w:val="single"/>
        </w:rPr>
        <w:t>skal</w:t>
      </w:r>
      <w:r>
        <w:t xml:space="preserve"> der anlægges en komprimerende forbinding, som skal forblive på i mindst 1 time og donor skal undgå fysisk belastning af armen (arbejde eller sport) i 24-48 timer efter. Sjældne senkomplikationer som arterie-venøs fistel og arterieudposning er beskrevet i litteraturen, men er ikke registreret i DK </w:t>
      </w:r>
      <w:r w:rsidR="0040743C">
        <w:t>i den periode hvor bivirkningsregistrering har fundet sted.</w:t>
      </w:r>
    </w:p>
    <w:p w14:paraId="6E696492" w14:textId="1749AECA" w:rsidR="00556985" w:rsidRDefault="00556985" w:rsidP="00556985"/>
    <w:p w14:paraId="72635991" w14:textId="4F3F801A" w:rsidR="00585013" w:rsidRPr="00F912F8" w:rsidRDefault="00585013" w:rsidP="00585013">
      <w:pPr>
        <w:pStyle w:val="Overskrift2"/>
        <w:rPr>
          <w:b/>
          <w:bCs/>
        </w:rPr>
      </w:pPr>
      <w:bookmarkStart w:id="17" w:name="_Toc170715525"/>
      <w:r w:rsidRPr="00F912F8">
        <w:rPr>
          <w:b/>
          <w:bCs/>
        </w:rPr>
        <w:t>Nerveskade/nerveirritation</w:t>
      </w:r>
      <w:bookmarkEnd w:id="17"/>
    </w:p>
    <w:p w14:paraId="3DF2D6AC" w14:textId="559343B2" w:rsidR="00585013" w:rsidRDefault="00556985" w:rsidP="00F912F8">
      <w:pPr>
        <w:pStyle w:val="Undertitel"/>
      </w:pPr>
      <w:r>
        <w:t xml:space="preserve">Årsag, symptomer og objektive fund </w:t>
      </w:r>
    </w:p>
    <w:p w14:paraId="21C1DD3A" w14:textId="7292D6C2" w:rsidR="001840C0" w:rsidRDefault="007F3D4F" w:rsidP="00585013">
      <w:r>
        <w:t>O</w:t>
      </w:r>
      <w:r w:rsidR="00E548E7">
        <w:t xml:space="preserve">pstår </w:t>
      </w:r>
      <w:r>
        <w:t xml:space="preserve">enten </w:t>
      </w:r>
      <w:r w:rsidR="00E548E7">
        <w:t>som følge af</w:t>
      </w:r>
      <w:r w:rsidR="00B6046A">
        <w:t xml:space="preserve"> direkte påvirkning af nerven </w:t>
      </w:r>
      <w:r>
        <w:t>fra</w:t>
      </w:r>
      <w:r w:rsidR="00B6046A">
        <w:t xml:space="preserve"> kanylen, eller indirekte ved tryk fra </w:t>
      </w:r>
      <w:proofErr w:type="spellStart"/>
      <w:r w:rsidR="00B6046A">
        <w:t>hæmatom</w:t>
      </w:r>
      <w:proofErr w:type="spellEnd"/>
      <w:r w:rsidR="00B6046A">
        <w:t xml:space="preserve"> eller arvævsdannelse. </w:t>
      </w:r>
      <w:r w:rsidR="006719E2">
        <w:t xml:space="preserve">Uanset årsag er symptomerne brændende, jagende, stikkende smerte som </w:t>
      </w:r>
      <w:r w:rsidR="000E5ECA">
        <w:t xml:space="preserve">enten </w:t>
      </w:r>
      <w:r w:rsidR="006719E2">
        <w:t>stråle</w:t>
      </w:r>
      <w:r w:rsidR="000E5ECA">
        <w:t>r</w:t>
      </w:r>
      <w:r w:rsidR="006719E2">
        <w:t xml:space="preserve"> ned i hånden/fingrene eller op</w:t>
      </w:r>
      <w:r w:rsidR="000E5ECA">
        <w:t xml:space="preserve"> </w:t>
      </w:r>
      <w:r w:rsidR="006719E2">
        <w:t xml:space="preserve">i armen </w:t>
      </w:r>
      <w:r w:rsidR="000E5ECA">
        <w:t xml:space="preserve">og/eller giver </w:t>
      </w:r>
      <w:r w:rsidR="006719E2">
        <w:t>føleforstyrrelser. Symptomerne kan evt. forværres ved brug af armen</w:t>
      </w:r>
      <w:r>
        <w:t>,</w:t>
      </w:r>
      <w:r w:rsidR="006719E2">
        <w:t xml:space="preserve"> eller hvis armen holdes i en bestemt position. </w:t>
      </w:r>
    </w:p>
    <w:p w14:paraId="23806123" w14:textId="1A7C9E91" w:rsidR="001840C0" w:rsidRPr="00E8233B" w:rsidRDefault="001840C0" w:rsidP="00E8233B">
      <w:pPr>
        <w:spacing w:after="0"/>
        <w:rPr>
          <w:b/>
        </w:rPr>
      </w:pPr>
      <w:r w:rsidRPr="00E8233B">
        <w:rPr>
          <w:b/>
        </w:rPr>
        <w:t>Primær nerveskade</w:t>
      </w:r>
    </w:p>
    <w:p w14:paraId="7428A377" w14:textId="239AFF4B" w:rsidR="000E5ECA" w:rsidRDefault="00B6046A" w:rsidP="00585013">
      <w:r>
        <w:t xml:space="preserve">Hvis nålen rammer nerven i forbindelse med tapning, vil donor altid opleve </w:t>
      </w:r>
      <w:r w:rsidR="006719E2">
        <w:t>symptomerne samtidig med indstik eller samtidig med</w:t>
      </w:r>
      <w:r w:rsidR="00E8233B">
        <w:t xml:space="preserve"> </w:t>
      </w:r>
      <w:r w:rsidR="006719E2">
        <w:t xml:space="preserve">at nålen fjernes. </w:t>
      </w:r>
      <w:r w:rsidR="003C68D9">
        <w:t>Sædvanligvis er det ikke hele nerven</w:t>
      </w:r>
      <w:r w:rsidR="000E5ECA">
        <w:t>,</w:t>
      </w:r>
      <w:r w:rsidR="003C68D9">
        <w:t xml:space="preserve"> som er påvirket</w:t>
      </w:r>
      <w:r w:rsidR="000E5ECA">
        <w:t xml:space="preserve">, </w:t>
      </w:r>
      <w:r w:rsidR="003C68D9">
        <w:t>men kun</w:t>
      </w:r>
      <w:r w:rsidR="000E5ECA">
        <w:t xml:space="preserve"> de</w:t>
      </w:r>
      <w:r w:rsidR="003C68D9">
        <w:t xml:space="preserve"> enkelte nervefibre</w:t>
      </w:r>
      <w:r w:rsidR="000E5ECA">
        <w:t>,</w:t>
      </w:r>
      <w:r w:rsidR="003C68D9">
        <w:t xml:space="preserve"> </w:t>
      </w:r>
      <w:r w:rsidR="000E5ECA">
        <w:t xml:space="preserve">som </w:t>
      </w:r>
      <w:r w:rsidR="003C68D9">
        <w:t>nålen</w:t>
      </w:r>
      <w:r w:rsidR="000E5ECA">
        <w:t xml:space="preserve"> </w:t>
      </w:r>
      <w:r w:rsidR="003C68D9">
        <w:t xml:space="preserve">har ramt. </w:t>
      </w:r>
      <w:r w:rsidR="00152132">
        <w:t xml:space="preserve">Donor vil derfor stort set aldrig have sensoriske eller motoriske udfald. Er det dog tilfældet skal </w:t>
      </w:r>
      <w:r w:rsidR="007F3AA6">
        <w:t xml:space="preserve">donor </w:t>
      </w:r>
      <w:r w:rsidR="00152132">
        <w:t xml:space="preserve">henvises til </w:t>
      </w:r>
      <w:r w:rsidR="007F3AA6">
        <w:t>udred</w:t>
      </w:r>
      <w:r w:rsidR="00152132">
        <w:t>ning hos neurolog</w:t>
      </w:r>
      <w:r w:rsidR="007F3AA6">
        <w:t>.</w:t>
      </w:r>
    </w:p>
    <w:p w14:paraId="58C9601B" w14:textId="6C5397E7" w:rsidR="000E5ECA" w:rsidRPr="00E8233B" w:rsidRDefault="000E5ECA" w:rsidP="00E8233B">
      <w:pPr>
        <w:spacing w:after="0"/>
        <w:rPr>
          <w:b/>
        </w:rPr>
      </w:pPr>
      <w:r w:rsidRPr="00E8233B">
        <w:rPr>
          <w:b/>
        </w:rPr>
        <w:t xml:space="preserve">Nerveskade sekundært til </w:t>
      </w:r>
      <w:proofErr w:type="spellStart"/>
      <w:r w:rsidRPr="00E8233B">
        <w:rPr>
          <w:b/>
        </w:rPr>
        <w:t>hæmatom</w:t>
      </w:r>
      <w:proofErr w:type="spellEnd"/>
      <w:r w:rsidRPr="00E8233B">
        <w:rPr>
          <w:b/>
        </w:rPr>
        <w:t xml:space="preserve"> eller arvæv</w:t>
      </w:r>
    </w:p>
    <w:p w14:paraId="2A4373F8" w14:textId="4EC1CF7B" w:rsidR="00B6046A" w:rsidRDefault="0088621F" w:rsidP="00585013">
      <w:r>
        <w:t xml:space="preserve">Nerven kan også påvirkes indirekte </w:t>
      </w:r>
      <w:r w:rsidR="00265E27">
        <w:t xml:space="preserve">af </w:t>
      </w:r>
      <w:r>
        <w:t xml:space="preserve">et </w:t>
      </w:r>
      <w:proofErr w:type="spellStart"/>
      <w:r>
        <w:t>hæmatom</w:t>
      </w:r>
      <w:proofErr w:type="spellEnd"/>
      <w:r>
        <w:t xml:space="preserve"> eller arvævsdannelse. Et </w:t>
      </w:r>
      <w:proofErr w:type="spellStart"/>
      <w:r>
        <w:t>hæmatom</w:t>
      </w:r>
      <w:proofErr w:type="spellEnd"/>
      <w:r>
        <w:t xml:space="preserve"> kan trykke på nerven og komprimere blodforsyningen til nerven og dermed påvirke</w:t>
      </w:r>
      <w:r w:rsidR="000E5ECA">
        <w:t xml:space="preserve"> de</w:t>
      </w:r>
      <w:r>
        <w:t xml:space="preserve"> enkelte nervefibre. </w:t>
      </w:r>
      <w:r w:rsidR="001A32B3">
        <w:t xml:space="preserve">Ofte er </w:t>
      </w:r>
      <w:r w:rsidR="003C68D9">
        <w:t xml:space="preserve">kun enkelte nervefibre ramt, eller nerven er ”irriteret” </w:t>
      </w:r>
      <w:r w:rsidR="00081A7F">
        <w:t>på grund af</w:t>
      </w:r>
      <w:r w:rsidR="00265E27">
        <w:t xml:space="preserve"> </w:t>
      </w:r>
      <w:proofErr w:type="spellStart"/>
      <w:r w:rsidR="007F5ADB">
        <w:t>hypoxi</w:t>
      </w:r>
      <w:proofErr w:type="spellEnd"/>
      <w:r w:rsidR="007F5ADB">
        <w:t xml:space="preserve"> som følge af nedsat blodforsyning </w:t>
      </w:r>
      <w:r w:rsidR="001A32B3">
        <w:t xml:space="preserve">og </w:t>
      </w:r>
      <w:r w:rsidR="003C68D9">
        <w:t xml:space="preserve">man </w:t>
      </w:r>
      <w:r w:rsidR="001A32B3">
        <w:t>vil</w:t>
      </w:r>
      <w:r w:rsidR="00265E27">
        <w:t xml:space="preserve"> derfor</w:t>
      </w:r>
      <w:r w:rsidR="001A32B3">
        <w:t xml:space="preserve"> </w:t>
      </w:r>
      <w:r w:rsidR="003C68D9">
        <w:t xml:space="preserve">ikke </w:t>
      </w:r>
      <w:r w:rsidR="001A32B3">
        <w:t xml:space="preserve">nødvendigvis </w:t>
      </w:r>
      <w:r w:rsidR="003C68D9">
        <w:t xml:space="preserve">se </w:t>
      </w:r>
      <w:r w:rsidR="001A32B3">
        <w:t xml:space="preserve">de </w:t>
      </w:r>
      <w:r w:rsidR="003C68D9">
        <w:t>klassiske symptomer på nerveskade</w:t>
      </w:r>
      <w:r w:rsidR="00FD68BC">
        <w:t>. Hvis der er tvivl om alvorligheden af skaden kan der overvejes undersøgelse med</w:t>
      </w:r>
      <w:r w:rsidR="003C68D9">
        <w:t xml:space="preserve"> </w:t>
      </w:r>
      <w:r w:rsidR="000E5ECA">
        <w:t>nerveledningsundersøgelser</w:t>
      </w:r>
      <w:r w:rsidR="00152132">
        <w:t xml:space="preserve"> (EMG/ENG)</w:t>
      </w:r>
      <w:r w:rsidR="003C68D9">
        <w:t xml:space="preserve">. </w:t>
      </w:r>
      <w:r w:rsidR="007F5ADB">
        <w:t>Derudover e</w:t>
      </w:r>
      <w:r w:rsidR="00265E27">
        <w:t>r</w:t>
      </w:r>
      <w:r w:rsidR="007F5ADB">
        <w:t xml:space="preserve"> det også beskrevet</w:t>
      </w:r>
      <w:r w:rsidR="00265E27">
        <w:t>,</w:t>
      </w:r>
      <w:r w:rsidR="007F5ADB">
        <w:t xml:space="preserve"> at venepunktur udløser vævsskade og dermed inflammation, hvilket også kan være medvirkende til nerveirritation. </w:t>
      </w:r>
      <w:proofErr w:type="spellStart"/>
      <w:r w:rsidR="00F35B52">
        <w:t>Hæmatomer</w:t>
      </w:r>
      <w:proofErr w:type="spellEnd"/>
      <w:r w:rsidR="00F35B52">
        <w:t xml:space="preserve"> kan opstå så dybt i armen</w:t>
      </w:r>
      <w:r w:rsidR="000E5ECA">
        <w:t>,</w:t>
      </w:r>
      <w:r w:rsidR="00F35B52">
        <w:t xml:space="preserve"> at der ikke nødvendigvis har været et synligt stort </w:t>
      </w:r>
      <w:proofErr w:type="spellStart"/>
      <w:r w:rsidR="00F35B52">
        <w:t>hæmatom</w:t>
      </w:r>
      <w:proofErr w:type="spellEnd"/>
      <w:r w:rsidR="00F35B52">
        <w:t xml:space="preserve">. </w:t>
      </w:r>
      <w:r>
        <w:t xml:space="preserve">Ved </w:t>
      </w:r>
      <w:proofErr w:type="spellStart"/>
      <w:r>
        <w:t>opheling</w:t>
      </w:r>
      <w:proofErr w:type="spellEnd"/>
      <w:r>
        <w:t xml:space="preserve"> af </w:t>
      </w:r>
      <w:proofErr w:type="spellStart"/>
      <w:r>
        <w:t>hæmatomer</w:t>
      </w:r>
      <w:proofErr w:type="spellEnd"/>
      <w:r>
        <w:t xml:space="preserve"> eller i det hele taget </w:t>
      </w:r>
      <w:r w:rsidR="00307485">
        <w:t xml:space="preserve">som følge af </w:t>
      </w:r>
      <w:r>
        <w:t>den skade</w:t>
      </w:r>
      <w:r w:rsidR="000E5ECA">
        <w:t>,</w:t>
      </w:r>
      <w:r>
        <w:t xml:space="preserve"> som en venepunktur kan give i vævet, kan der opstå arvævsdannelse. Dette arvæv kan </w:t>
      </w:r>
      <w:r w:rsidR="000E5ECA">
        <w:t xml:space="preserve">binde </w:t>
      </w:r>
      <w:r>
        <w:t xml:space="preserve">til nerveskeden og </w:t>
      </w:r>
      <w:r w:rsidR="001A32B3">
        <w:t>medføre</w:t>
      </w:r>
      <w:r w:rsidR="000E5ECA">
        <w:t xml:space="preserve">, </w:t>
      </w:r>
      <w:r>
        <w:t>at nervens bevægelig</w:t>
      </w:r>
      <w:r w:rsidR="00307485">
        <w:t>hed</w:t>
      </w:r>
      <w:r>
        <w:t xml:space="preserve"> er påvirket (viser sig fx som smerte i armen ved bevægelse)</w:t>
      </w:r>
      <w:r w:rsidR="008C213A">
        <w:t xml:space="preserve">. Der er </w:t>
      </w:r>
      <w:r w:rsidR="00FE1F65">
        <w:t xml:space="preserve">kasuistiske beretninger </w:t>
      </w:r>
      <w:r w:rsidR="000E5ECA">
        <w:t xml:space="preserve">om </w:t>
      </w:r>
      <w:proofErr w:type="spellStart"/>
      <w:r w:rsidR="000E5ECA">
        <w:t>carpal</w:t>
      </w:r>
      <w:r w:rsidR="008C213A">
        <w:t>tunnel</w:t>
      </w:r>
      <w:proofErr w:type="spellEnd"/>
      <w:r w:rsidR="008C213A">
        <w:t xml:space="preserve"> syndrom</w:t>
      </w:r>
      <w:r w:rsidR="00FE1F65">
        <w:t xml:space="preserve"> med kompression af n. medianus</w:t>
      </w:r>
      <w:r w:rsidR="001A32B3">
        <w:t xml:space="preserve"> efter bloddonation</w:t>
      </w:r>
      <w:r w:rsidR="00FE1F65">
        <w:t>.</w:t>
      </w:r>
    </w:p>
    <w:p w14:paraId="73A32C3E" w14:textId="7762BCF0" w:rsidR="008D0A44" w:rsidRPr="00585013" w:rsidRDefault="008D0A44" w:rsidP="00585013">
      <w:r>
        <w:t xml:space="preserve">Symptomatologien </w:t>
      </w:r>
      <w:r w:rsidR="00D44ED5">
        <w:t xml:space="preserve">er ofte mere i overensstemmelse med symptomer på </w:t>
      </w:r>
      <w:r>
        <w:t>neuropatiske smerter</w:t>
      </w:r>
      <w:r w:rsidR="00D44ED5">
        <w:rPr>
          <w:rStyle w:val="Fodnotehenvisning"/>
        </w:rPr>
        <w:footnoteReference w:id="11"/>
      </w:r>
      <w:r w:rsidR="000015BF">
        <w:t xml:space="preserve"> eller smertesyndromer</w:t>
      </w:r>
      <w:r w:rsidR="000015BF">
        <w:rPr>
          <w:rStyle w:val="Fodnotehenvisning"/>
        </w:rPr>
        <w:footnoteReference w:id="12"/>
      </w:r>
      <w:r w:rsidR="00D44ED5">
        <w:t xml:space="preserve">. </w:t>
      </w:r>
    </w:p>
    <w:p w14:paraId="33498C75" w14:textId="43849794" w:rsidR="00585013" w:rsidRDefault="00556985" w:rsidP="00F912F8">
      <w:pPr>
        <w:pStyle w:val="Undertitel"/>
      </w:pPr>
      <w:r w:rsidRPr="00556985">
        <w:t>Behandling og prognose</w:t>
      </w:r>
    </w:p>
    <w:p w14:paraId="430026DD" w14:textId="2A791AC9" w:rsidR="00E854B2" w:rsidRDefault="000E5ECA" w:rsidP="00811CA9">
      <w:r>
        <w:t xml:space="preserve">En nerveskade </w:t>
      </w:r>
      <w:r w:rsidR="00811CA9">
        <w:t>forsvinder typisk i løbet af 3 måneder, men der kan gå op til 6 måneder. Donor skal mærke en langsom forbedring.</w:t>
      </w:r>
    </w:p>
    <w:p w14:paraId="03055489" w14:textId="192D2C2A" w:rsidR="00E854B2" w:rsidRDefault="00E854B2" w:rsidP="00811CA9">
      <w:r w:rsidRPr="00E854B2">
        <w:t>Hvis donor har stærke svære symptomer, skal donor henvises til vurdering af specialist, fx neurolog</w:t>
      </w:r>
      <w:r w:rsidR="00D03CF4">
        <w:t>, håndkirurg</w:t>
      </w:r>
      <w:r w:rsidRPr="00E854B2">
        <w:t xml:space="preserve"> eller</w:t>
      </w:r>
      <w:r w:rsidR="00E8233B">
        <w:t xml:space="preserve"> </w:t>
      </w:r>
      <w:r w:rsidR="008A0371">
        <w:t>r</w:t>
      </w:r>
      <w:r w:rsidR="008A0371" w:rsidRPr="00E854B2">
        <w:t>eumatolog</w:t>
      </w:r>
      <w:r w:rsidR="00D03CF4">
        <w:t>,</w:t>
      </w:r>
      <w:r w:rsidRPr="00E854B2">
        <w:t xml:space="preserve"> afhængig af lokale forhold </w:t>
      </w:r>
      <w:r w:rsidR="008A0371">
        <w:t xml:space="preserve">på hospitalet/i regionen </w:t>
      </w:r>
      <w:r w:rsidRPr="00E854B2">
        <w:t>og eventuelle aftaler. Det skal sikres</w:t>
      </w:r>
      <w:r w:rsidR="00265E27">
        <w:t>,</w:t>
      </w:r>
      <w:r w:rsidRPr="00E854B2">
        <w:t xml:space="preserve"> at donor bliver vurderet rettidigt, og afhængig af symptomer </w:t>
      </w:r>
      <w:r>
        <w:t>kan f</w:t>
      </w:r>
      <w:r w:rsidRPr="00E854B2">
        <w:t>orudgå</w:t>
      </w:r>
      <w:r>
        <w:t>ende</w:t>
      </w:r>
      <w:r w:rsidRPr="00E854B2">
        <w:t xml:space="preserve"> telefonisk kontakt </w:t>
      </w:r>
      <w:proofErr w:type="spellStart"/>
      <w:r w:rsidRPr="00E854B2">
        <w:t>mhp</w:t>
      </w:r>
      <w:proofErr w:type="spellEnd"/>
      <w:r w:rsidRPr="00E854B2">
        <w:t xml:space="preserve"> hurtig visitering være nødvendig, undtagen hvis blodbanken har en </w:t>
      </w:r>
      <w:r w:rsidR="00265E27">
        <w:t xml:space="preserve">fast </w:t>
      </w:r>
      <w:r w:rsidRPr="00E854B2">
        <w:t>aftale med en klinisk afdeling.</w:t>
      </w:r>
    </w:p>
    <w:p w14:paraId="332959D6" w14:textId="55157988" w:rsidR="00EE7679" w:rsidRPr="00EE7679" w:rsidRDefault="00EE7679" w:rsidP="00EE7679">
      <w:r>
        <w:t xml:space="preserve">Hvis der fortsat er symptomer efter 6-12 måneder, er </w:t>
      </w:r>
      <w:r w:rsidR="00CD402F">
        <w:t>d</w:t>
      </w:r>
      <w:r>
        <w:t>et usandsynligt</w:t>
      </w:r>
      <w:r w:rsidR="000E5ECA">
        <w:t>,</w:t>
      </w:r>
      <w:r>
        <w:t xml:space="preserve"> at det bliver bedre. Der er ingen kendte behandlingsmuligheder ved langvarige/kroniske symptomer. </w:t>
      </w:r>
      <w:r w:rsidR="00FF57A0">
        <w:t>Dog findes k</w:t>
      </w:r>
      <w:r w:rsidRPr="00C94DA9">
        <w:t>asuistiske beretning</w:t>
      </w:r>
      <w:r w:rsidR="00FF57A0">
        <w:t>er</w:t>
      </w:r>
      <w:r w:rsidRPr="00C94DA9">
        <w:t xml:space="preserve"> om </w:t>
      </w:r>
      <w:r w:rsidR="00FF57A0">
        <w:lastRenderedPageBreak/>
        <w:t xml:space="preserve">symptomlindring ved </w:t>
      </w:r>
      <w:r w:rsidRPr="00C94DA9">
        <w:t xml:space="preserve">fysioterapi (nervemobiliseringsøvelser). </w:t>
      </w:r>
      <w:r w:rsidRPr="00EE7679">
        <w:t>Afhængig af symptomer kan der henvises til</w:t>
      </w:r>
      <w:r w:rsidR="00FF57A0">
        <w:t xml:space="preserve"> vurdering ved</w:t>
      </w:r>
      <w:r w:rsidRPr="00EE7679">
        <w:t xml:space="preserve"> neurolog</w:t>
      </w:r>
      <w:r w:rsidR="00D03CF4">
        <w:t>, håndkirurg</w:t>
      </w:r>
      <w:r w:rsidR="00FF57A0">
        <w:t xml:space="preserve"> eller</w:t>
      </w:r>
      <w:r w:rsidRPr="00EE7679">
        <w:t xml:space="preserve"> reumatolog</w:t>
      </w:r>
      <w:r w:rsidR="00FF57A0">
        <w:t>,</w:t>
      </w:r>
      <w:r w:rsidRPr="00EE7679">
        <w:t xml:space="preserve"> m</w:t>
      </w:r>
      <w:r>
        <w:t xml:space="preserve">en donor skal ikke forvente </w:t>
      </w:r>
      <w:r w:rsidR="005E6FC2">
        <w:t>store ændringer. Det er her vigtigt at fortælle donor</w:t>
      </w:r>
      <w:r w:rsidR="000E5ECA">
        <w:t>,</w:t>
      </w:r>
      <w:r w:rsidR="005E6FC2">
        <w:t xml:space="preserve"> at det heller ikke </w:t>
      </w:r>
      <w:r w:rsidR="00307485">
        <w:t xml:space="preserve">bliver </w:t>
      </w:r>
      <w:r w:rsidR="005E6FC2">
        <w:t xml:space="preserve">værre, </w:t>
      </w:r>
      <w:r w:rsidR="000E5ECA">
        <w:t xml:space="preserve">at </w:t>
      </w:r>
      <w:r w:rsidR="005E6FC2">
        <w:t xml:space="preserve">donor må ”lære at leve med det” og </w:t>
      </w:r>
      <w:r w:rsidR="00307485">
        <w:t xml:space="preserve">at </w:t>
      </w:r>
      <w:r w:rsidR="005E6FC2">
        <w:t>det er sjældent</w:t>
      </w:r>
      <w:r w:rsidR="000E5ECA">
        <w:t>,</w:t>
      </w:r>
      <w:r w:rsidR="005E6FC2">
        <w:t xml:space="preserve"> at donorer har langvarige stærke smerter.</w:t>
      </w:r>
      <w:r w:rsidR="00C22909">
        <w:t xml:space="preserve"> </w:t>
      </w:r>
    </w:p>
    <w:p w14:paraId="70C43B95" w14:textId="4A56BA13" w:rsidR="00631190" w:rsidRPr="00E854B2" w:rsidRDefault="00E854B2" w:rsidP="00E854B2">
      <w:r w:rsidRPr="00E854B2">
        <w:t xml:space="preserve">Der er i litteraturen og gennem praktisk erfaring angivet mulige akutte behandlinger af nerveskade/nerveirritation, fx </w:t>
      </w:r>
      <w:proofErr w:type="spellStart"/>
      <w:r w:rsidRPr="00E854B2">
        <w:t>Ipren</w:t>
      </w:r>
      <w:proofErr w:type="spellEnd"/>
      <w:r w:rsidRPr="00E854B2">
        <w:t xml:space="preserve"> (antiinflammatorisk)</w:t>
      </w:r>
      <w:r w:rsidR="00424D0B">
        <w:t>og</w:t>
      </w:r>
      <w:r w:rsidRPr="00E854B2">
        <w:t xml:space="preserve"> lokal behandling </w:t>
      </w:r>
      <w:r w:rsidR="00424D0B">
        <w:t>med NSAID-</w:t>
      </w:r>
      <w:r w:rsidRPr="00E854B2">
        <w:t xml:space="preserve">creme/gel.  </w:t>
      </w:r>
      <w:proofErr w:type="spellStart"/>
      <w:r w:rsidRPr="00E854B2">
        <w:t>Hæmovigilance</w:t>
      </w:r>
      <w:proofErr w:type="spellEnd"/>
      <w:r w:rsidR="00424D0B">
        <w:t>-</w:t>
      </w:r>
      <w:r w:rsidRPr="00E854B2">
        <w:t xml:space="preserve">udvalget vil gennemgå evidensen og komme med en anbefaling til næstkommende revisioner. </w:t>
      </w:r>
      <w:r>
        <w:t>Evt. b</w:t>
      </w:r>
      <w:r w:rsidRPr="00E854B2">
        <w:t xml:space="preserve">ehandling af neuropatiske smerter indebærer fx </w:t>
      </w:r>
      <w:proofErr w:type="spellStart"/>
      <w:r w:rsidRPr="00E854B2">
        <w:t>antiepileptika</w:t>
      </w:r>
      <w:proofErr w:type="spellEnd"/>
      <w:r w:rsidR="00424D0B">
        <w:t xml:space="preserve"> eller</w:t>
      </w:r>
      <w:r w:rsidRPr="00E854B2">
        <w:t xml:space="preserve"> </w:t>
      </w:r>
      <w:proofErr w:type="spellStart"/>
      <w:r w:rsidRPr="00E854B2">
        <w:t>tricycliske</w:t>
      </w:r>
      <w:proofErr w:type="spellEnd"/>
      <w:r w:rsidRPr="00E854B2">
        <w:t xml:space="preserve"> </w:t>
      </w:r>
      <w:proofErr w:type="spellStart"/>
      <w:r w:rsidRPr="00E854B2">
        <w:t>antidepressiva</w:t>
      </w:r>
      <w:proofErr w:type="spellEnd"/>
      <w:r w:rsidRPr="00E854B2">
        <w:t xml:space="preserve">, som kræver henvisning til specialist </w:t>
      </w:r>
      <w:r w:rsidR="00424D0B">
        <w:t>(</w:t>
      </w:r>
      <w:r w:rsidRPr="00E854B2">
        <w:t xml:space="preserve">fx </w:t>
      </w:r>
      <w:r w:rsidR="008A0371" w:rsidRPr="00E854B2">
        <w:t>neurolog</w:t>
      </w:r>
      <w:r w:rsidR="008A0371">
        <w:t>) eller</w:t>
      </w:r>
      <w:r w:rsidRPr="00E854B2">
        <w:t xml:space="preserve"> smerteklinik afhængig af </w:t>
      </w:r>
      <w:r w:rsidR="008A0371">
        <w:t>hvad der er tilgængeligt</w:t>
      </w:r>
      <w:r w:rsidRPr="00E854B2">
        <w:t>.</w:t>
      </w:r>
    </w:p>
    <w:p w14:paraId="4C1B667E" w14:textId="2CEB206F" w:rsidR="00BB212C" w:rsidRDefault="00BB212C" w:rsidP="00A350F7"/>
    <w:p w14:paraId="53481ABD" w14:textId="77777777" w:rsidR="00F0634B" w:rsidRDefault="00F0634B" w:rsidP="00A350F7"/>
    <w:p w14:paraId="70DF0B2B" w14:textId="3D7D80D3" w:rsidR="00A350F7" w:rsidRPr="00F912F8" w:rsidRDefault="006719E2" w:rsidP="006719E2">
      <w:pPr>
        <w:pStyle w:val="Overskrift2"/>
        <w:rPr>
          <w:b/>
          <w:bCs/>
        </w:rPr>
      </w:pPr>
      <w:bookmarkStart w:id="18" w:name="_Toc170715526"/>
      <w:r w:rsidRPr="00F912F8">
        <w:rPr>
          <w:b/>
          <w:bCs/>
        </w:rPr>
        <w:t>Anden smerte</w:t>
      </w:r>
      <w:bookmarkEnd w:id="18"/>
    </w:p>
    <w:p w14:paraId="327AB5C2" w14:textId="23264997" w:rsidR="006719E2" w:rsidRDefault="00556985" w:rsidP="00F912F8">
      <w:pPr>
        <w:pStyle w:val="Undertitel"/>
      </w:pPr>
      <w:r>
        <w:t xml:space="preserve">Årsag, symptomer og objektive fund </w:t>
      </w:r>
    </w:p>
    <w:p w14:paraId="45E5D186" w14:textId="2C6EEB94" w:rsidR="006719E2" w:rsidRPr="006719E2" w:rsidRDefault="00124DCD" w:rsidP="006719E2">
      <w:r>
        <w:t>Der er få donorer</w:t>
      </w:r>
      <w:r w:rsidR="00C22909">
        <w:t>,</w:t>
      </w:r>
      <w:r>
        <w:t xml:space="preserve"> som oplever smerte i armen</w:t>
      </w:r>
      <w:r w:rsidR="00C22909">
        <w:t>,</w:t>
      </w:r>
      <w:r>
        <w:t xml:space="preserve"> </w:t>
      </w:r>
      <w:r w:rsidR="00424D0B">
        <w:t xml:space="preserve">der </w:t>
      </w:r>
      <w:r>
        <w:t xml:space="preserve">ikke kan passer ind i de andre kategorier. Typisk kan de fortælle om lokal smerte ved brug af armen, bestemte bevægelser </w:t>
      </w:r>
      <w:r w:rsidR="00EA21C0">
        <w:t xml:space="preserve">eller </w:t>
      </w:r>
      <w:r>
        <w:t>lignende</w:t>
      </w:r>
      <w:r w:rsidR="00424D0B">
        <w:t>,</w:t>
      </w:r>
      <w:r>
        <w:t xml:space="preserve"> </w:t>
      </w:r>
      <w:r w:rsidR="00E854B2">
        <w:t xml:space="preserve">som har varet ved </w:t>
      </w:r>
      <w:r>
        <w:t xml:space="preserve">flere måneder efter </w:t>
      </w:r>
      <w:r w:rsidR="00CD402F">
        <w:t>tapningen</w:t>
      </w:r>
      <w:r>
        <w:t>. Det kan ikke udelukkes</w:t>
      </w:r>
      <w:r w:rsidR="00C22909">
        <w:t>,</w:t>
      </w:r>
      <w:r>
        <w:t xml:space="preserve"> at baggrunden også kan være en nerveirritation</w:t>
      </w:r>
      <w:r w:rsidR="00C22909">
        <w:t>,</w:t>
      </w:r>
      <w:r>
        <w:t xml:space="preserve"> som ikke har vist sig ved </w:t>
      </w:r>
      <w:r w:rsidR="00E854B2">
        <w:t xml:space="preserve">de </w:t>
      </w:r>
      <w:r>
        <w:t xml:space="preserve">typiske symptomer. En læsion </w:t>
      </w:r>
      <w:r w:rsidR="005F084E">
        <w:t xml:space="preserve">af de andre strukturer i området </w:t>
      </w:r>
      <w:r>
        <w:t xml:space="preserve">ved indstik af nålen kan heller ikke udelukkes, fx </w:t>
      </w:r>
      <w:proofErr w:type="spellStart"/>
      <w:r>
        <w:t>senelæsion</w:t>
      </w:r>
      <w:proofErr w:type="spellEnd"/>
      <w:r>
        <w:t>.</w:t>
      </w:r>
    </w:p>
    <w:p w14:paraId="3D3C1162" w14:textId="77777777" w:rsidR="00556985" w:rsidRDefault="00556985" w:rsidP="00F912F8">
      <w:pPr>
        <w:pStyle w:val="Undertitel"/>
        <w:rPr>
          <w:rFonts w:eastAsiaTheme="majorEastAsia"/>
        </w:rPr>
      </w:pPr>
      <w:r w:rsidRPr="00556985">
        <w:rPr>
          <w:rFonts w:eastAsiaTheme="majorEastAsia"/>
        </w:rPr>
        <w:t xml:space="preserve">Behandling og prognose </w:t>
      </w:r>
    </w:p>
    <w:p w14:paraId="3155C661" w14:textId="79975245" w:rsidR="00124DCD" w:rsidRDefault="00124DCD" w:rsidP="00124DCD">
      <w:r>
        <w:t xml:space="preserve">Hvis der fortsat er symptomer efter 6-12 </w:t>
      </w:r>
      <w:r w:rsidR="00BB212C">
        <w:t>måneder,</w:t>
      </w:r>
      <w:r>
        <w:t xml:space="preserve"> er </w:t>
      </w:r>
      <w:r w:rsidR="005F084E">
        <w:t>d</w:t>
      </w:r>
      <w:r>
        <w:t>et usandsynligt</w:t>
      </w:r>
      <w:r w:rsidR="005F084E">
        <w:t>,</w:t>
      </w:r>
      <w:r>
        <w:t xml:space="preserve"> at det bliver bedre</w:t>
      </w:r>
      <w:r w:rsidR="005F084E">
        <w:t>.</w:t>
      </w:r>
    </w:p>
    <w:p w14:paraId="76F7A40D" w14:textId="63297B23" w:rsidR="008C213A" w:rsidRDefault="008C213A" w:rsidP="00124DCD">
      <w:r w:rsidRPr="00E854B2">
        <w:t xml:space="preserve">Kasuistiske beretninger om </w:t>
      </w:r>
      <w:r w:rsidR="00EA21C0" w:rsidRPr="00E854B2">
        <w:t xml:space="preserve">effekt af </w:t>
      </w:r>
      <w:r w:rsidRPr="00E854B2">
        <w:t>fysioterapi (nervemobiliseringsøvelser)</w:t>
      </w:r>
      <w:r w:rsidR="00E854B2">
        <w:t xml:space="preserve"> er beskrevet</w:t>
      </w:r>
      <w:r w:rsidR="005E6FC2">
        <w:t>. Man opnår sjældent noget ved at henvise donor</w:t>
      </w:r>
      <w:r w:rsidR="00E854B2">
        <w:t xml:space="preserve"> </w:t>
      </w:r>
      <w:r w:rsidR="00424D0B">
        <w:t xml:space="preserve">til </w:t>
      </w:r>
      <w:r w:rsidR="00E854B2">
        <w:t>fx neurolog</w:t>
      </w:r>
      <w:r w:rsidR="005E6FC2">
        <w:t>. Det er her vigtigt at fortælle donor</w:t>
      </w:r>
      <w:r w:rsidR="005F084E">
        <w:t>,</w:t>
      </w:r>
      <w:r w:rsidR="005E6FC2">
        <w:t xml:space="preserve"> at det bliver heller ikke værre, men </w:t>
      </w:r>
      <w:r w:rsidR="005F084E">
        <w:t xml:space="preserve">at </w:t>
      </w:r>
      <w:r w:rsidR="005E6FC2">
        <w:t>donor må ”lære at leve med det”</w:t>
      </w:r>
      <w:r w:rsidR="00027C4E">
        <w:t>. Det</w:t>
      </w:r>
      <w:r w:rsidR="005E6FC2">
        <w:t xml:space="preserve"> er meget sjældent</w:t>
      </w:r>
      <w:r w:rsidR="005F084E">
        <w:t>,</w:t>
      </w:r>
      <w:r w:rsidR="005E6FC2">
        <w:t xml:space="preserve"> at donorer har langvarige stærke smerter. </w:t>
      </w:r>
    </w:p>
    <w:p w14:paraId="6BC20A95" w14:textId="3C8AA492" w:rsidR="00585013" w:rsidRDefault="00585013" w:rsidP="00585013"/>
    <w:p w14:paraId="2DD836FA" w14:textId="77777777" w:rsidR="00F0634B" w:rsidRDefault="00F0634B" w:rsidP="00585013"/>
    <w:p w14:paraId="463EC914" w14:textId="1C037013" w:rsidR="00EA4D9F" w:rsidRPr="00F912F8" w:rsidRDefault="00EC3460" w:rsidP="00EC3460">
      <w:pPr>
        <w:pStyle w:val="Overskrift2"/>
        <w:rPr>
          <w:b/>
          <w:bCs/>
        </w:rPr>
      </w:pPr>
      <w:bookmarkStart w:id="19" w:name="_Toc170715527"/>
      <w:proofErr w:type="spellStart"/>
      <w:r w:rsidRPr="00F912F8">
        <w:rPr>
          <w:b/>
          <w:bCs/>
        </w:rPr>
        <w:t>Vasovagale</w:t>
      </w:r>
      <w:proofErr w:type="spellEnd"/>
      <w:r w:rsidRPr="00F912F8">
        <w:rPr>
          <w:b/>
          <w:bCs/>
        </w:rPr>
        <w:t xml:space="preserve"> reaktioner/besvimelser</w:t>
      </w:r>
      <w:bookmarkEnd w:id="19"/>
    </w:p>
    <w:p w14:paraId="35C81DAC" w14:textId="1534B3B2" w:rsidR="00B63655" w:rsidRDefault="00556985" w:rsidP="00F912F8">
      <w:pPr>
        <w:pStyle w:val="Undertitel"/>
      </w:pPr>
      <w:r>
        <w:t xml:space="preserve">Årsag, symptomer og objektive fund </w:t>
      </w:r>
    </w:p>
    <w:p w14:paraId="4B70D7F4" w14:textId="57F7A982" w:rsidR="00BB3FD6" w:rsidRDefault="00B63655" w:rsidP="00BB3FD6">
      <w:proofErr w:type="spellStart"/>
      <w:r>
        <w:t>Vasovagale</w:t>
      </w:r>
      <w:proofErr w:type="spellEnd"/>
      <w:r>
        <w:t xml:space="preserve"> reaktioner er</w:t>
      </w:r>
      <w:r w:rsidR="00006CEB">
        <w:t xml:space="preserve"> den hyppigste systemiske</w:t>
      </w:r>
      <w:r>
        <w:t xml:space="preserve"> bivirkning</w:t>
      </w:r>
      <w:r w:rsidR="00265E27">
        <w:t xml:space="preserve"> til bloddonation</w:t>
      </w:r>
      <w:r>
        <w:t>.</w:t>
      </w:r>
      <w:r w:rsidR="00FA3271">
        <w:t xml:space="preserve"> En </w:t>
      </w:r>
      <w:proofErr w:type="spellStart"/>
      <w:r w:rsidR="00FA3271">
        <w:t>vasovagal</w:t>
      </w:r>
      <w:proofErr w:type="spellEnd"/>
      <w:r w:rsidR="00FA3271">
        <w:t xml:space="preserve"> reaktion kan være kompliceret af besvimelse</w:t>
      </w:r>
      <w:r w:rsidR="00C22909">
        <w:t xml:space="preserve"> og </w:t>
      </w:r>
      <w:r w:rsidR="00EA21C0">
        <w:t>fald</w:t>
      </w:r>
      <w:r w:rsidR="00C22909">
        <w:t>traume</w:t>
      </w:r>
      <w:r w:rsidR="00FA3271">
        <w:t xml:space="preserve">. I svære tilfælde af besvimelse som følge af </w:t>
      </w:r>
      <w:proofErr w:type="spellStart"/>
      <w:r w:rsidR="00FA3271">
        <w:t>vasovagal</w:t>
      </w:r>
      <w:proofErr w:type="spellEnd"/>
      <w:r w:rsidR="00FA3271">
        <w:t xml:space="preserve"> reaktion</w:t>
      </w:r>
      <w:r w:rsidR="00C22909">
        <w:t>,</w:t>
      </w:r>
      <w:r w:rsidR="00FA3271">
        <w:t xml:space="preserve"> kan man se inkontinens og ufrivillige muskeltrækninger. Sidstnævnte må ikke forveksles med kramper/epilepsi og </w:t>
      </w:r>
      <w:r w:rsidR="00BB3FD6">
        <w:t>det er vigtigt at disse betegnelser ikke anvendes</w:t>
      </w:r>
      <w:r w:rsidR="00265E27">
        <w:t>,</w:t>
      </w:r>
      <w:r w:rsidR="00C22909">
        <w:t xml:space="preserve"> når bivirkningen registreres</w:t>
      </w:r>
      <w:r w:rsidR="00F67762">
        <w:t xml:space="preserve"> eller der laves donorjou</w:t>
      </w:r>
      <w:r w:rsidR="00265E27">
        <w:t>r</w:t>
      </w:r>
      <w:r w:rsidR="00F67762">
        <w:t>nal</w:t>
      </w:r>
      <w:r w:rsidR="008A0371">
        <w:t xml:space="preserve"> (det kan have betydning for donor fx i forbindelse med kørekort/livsforsikring)</w:t>
      </w:r>
      <w:r w:rsidR="00FA3271">
        <w:t>. Årsagen til muskeltrækninger</w:t>
      </w:r>
      <w:r w:rsidR="00C22909">
        <w:t>ne</w:t>
      </w:r>
      <w:r w:rsidR="00FA3271">
        <w:t xml:space="preserve"> er</w:t>
      </w:r>
      <w:r w:rsidR="00C22909">
        <w:t xml:space="preserve"> en</w:t>
      </w:r>
      <w:r w:rsidR="00FA3271">
        <w:t xml:space="preserve"> ophobning af CO</w:t>
      </w:r>
      <w:r w:rsidR="00FA3271" w:rsidRPr="00F67762">
        <w:rPr>
          <w:vertAlign w:val="subscript"/>
        </w:rPr>
        <w:t>2</w:t>
      </w:r>
      <w:r w:rsidR="00FA3271">
        <w:t>. Besvimelse kan resultere i uheld eller skader afhængig af hvor og hvornår det sker, og det er disse uheld/skader</w:t>
      </w:r>
      <w:r w:rsidR="00C22909">
        <w:t>,</w:t>
      </w:r>
      <w:r w:rsidR="00FA3271">
        <w:t xml:space="preserve"> som er årsagen til at besvimelser kan give svære bivirkninger. </w:t>
      </w:r>
      <w:proofErr w:type="spellStart"/>
      <w:r w:rsidR="00FA3271">
        <w:t>Vasovagale</w:t>
      </w:r>
      <w:proofErr w:type="spellEnd"/>
      <w:r w:rsidR="00FA3271">
        <w:t xml:space="preserve"> reaktioner opstår som følge af e</w:t>
      </w:r>
      <w:r w:rsidR="00EA21C0">
        <w:t>t</w:t>
      </w:r>
      <w:r w:rsidR="00FA3271">
        <w:t xml:space="preserve"> kompleks</w:t>
      </w:r>
      <w:r w:rsidR="00EA21C0">
        <w:t>t</w:t>
      </w:r>
      <w:r w:rsidR="00FA3271">
        <w:t xml:space="preserve"> sammenspil af flere faktorer i CNS, det </w:t>
      </w:r>
      <w:r w:rsidR="00FA3271">
        <w:lastRenderedPageBreak/>
        <w:t>autonome nervesystem</w:t>
      </w:r>
      <w:r w:rsidR="0009503E">
        <w:t xml:space="preserve"> samt </w:t>
      </w:r>
      <w:r w:rsidR="00FA3271">
        <w:t>emotionelle faktorer</w:t>
      </w:r>
      <w:r w:rsidR="000015BF">
        <w:rPr>
          <w:rStyle w:val="Fodnotehenvisning"/>
        </w:rPr>
        <w:footnoteReference w:id="13"/>
      </w:r>
      <w:r w:rsidR="00ED4749">
        <w:t xml:space="preserve">. Størrelsen af det donerede blodvolumen </w:t>
      </w:r>
      <w:r w:rsidR="0009503E">
        <w:t>i forhold til donors blodvolumen har formentlig kun en betydning såfremt donor har et lille blodvolumen</w:t>
      </w:r>
      <w:r w:rsidR="0009503E">
        <w:rPr>
          <w:rStyle w:val="Fodnotehenvisning"/>
        </w:rPr>
        <w:footnoteReference w:id="14"/>
      </w:r>
      <w:r w:rsidR="00BB3FD6">
        <w:t xml:space="preserve">. </w:t>
      </w:r>
      <w:r w:rsidR="00265E27">
        <w:t>Tidsmæssigt i</w:t>
      </w:r>
      <w:r w:rsidR="00BB3FD6">
        <w:t xml:space="preserve"> forhold til donationen</w:t>
      </w:r>
      <w:r w:rsidR="00265E27">
        <w:t>,</w:t>
      </w:r>
      <w:r w:rsidR="00BB3FD6">
        <w:t xml:space="preserve"> sker </w:t>
      </w:r>
      <w:proofErr w:type="spellStart"/>
      <w:r w:rsidR="00BB3FD6">
        <w:t>vasovagale</w:t>
      </w:r>
      <w:proofErr w:type="spellEnd"/>
      <w:r w:rsidR="00BB3FD6">
        <w:t xml:space="preserve"> reaktioner </w:t>
      </w:r>
      <w:r w:rsidR="00D652C7">
        <w:t>hyppigst ca</w:t>
      </w:r>
      <w:r w:rsidR="00265E27">
        <w:t>.</w:t>
      </w:r>
      <w:r w:rsidR="00D652C7">
        <w:t xml:space="preserve"> 2 min før nålen fjernes og </w:t>
      </w:r>
      <w:r w:rsidR="000015BF">
        <w:t xml:space="preserve">10-15 min efter nålen </w:t>
      </w:r>
      <w:r w:rsidR="00265E27">
        <w:t xml:space="preserve">er </w:t>
      </w:r>
      <w:r w:rsidR="000015BF">
        <w:t>fjerne</w:t>
      </w:r>
      <w:r w:rsidR="00265E27">
        <w:t>t</w:t>
      </w:r>
      <w:r w:rsidR="00BB3FD6">
        <w:rPr>
          <w:rStyle w:val="Fodnotehenvisning"/>
        </w:rPr>
        <w:footnoteReference w:id="15"/>
      </w:r>
      <w:r w:rsidR="00D652C7">
        <w:t>.</w:t>
      </w:r>
    </w:p>
    <w:p w14:paraId="276F24DE" w14:textId="198F4798" w:rsidR="00DD49CD" w:rsidRDefault="00DD49CD" w:rsidP="00BB3FD6">
      <w:r>
        <w:t xml:space="preserve">Langt de fleste </w:t>
      </w:r>
      <w:proofErr w:type="spellStart"/>
      <w:r>
        <w:t>vasovagale</w:t>
      </w:r>
      <w:proofErr w:type="spellEnd"/>
      <w:r>
        <w:t xml:space="preserve"> reaktioner sker i blodbanken. Kun en lille andel sker efter, at donor har forladt blodbanken</w:t>
      </w:r>
      <w:r w:rsidR="00D652C7">
        <w:rPr>
          <w:rStyle w:val="Fodnotehenvisning"/>
        </w:rPr>
        <w:footnoteReference w:id="16"/>
      </w:r>
      <w:r>
        <w:t xml:space="preserve">. </w:t>
      </w:r>
    </w:p>
    <w:p w14:paraId="3AF00129" w14:textId="159B333D" w:rsidR="00B63655" w:rsidRDefault="00556985" w:rsidP="00F912F8">
      <w:pPr>
        <w:pStyle w:val="Undertitel"/>
      </w:pPr>
      <w:r w:rsidRPr="00556985">
        <w:t>Behandling og prognose</w:t>
      </w:r>
    </w:p>
    <w:p w14:paraId="560CB045" w14:textId="08AB6BE6" w:rsidR="00DD49CD" w:rsidRDefault="00BB3FD6" w:rsidP="00BB3FD6">
      <w:proofErr w:type="spellStart"/>
      <w:r>
        <w:t>Trendenlenburgs</w:t>
      </w:r>
      <w:proofErr w:type="spellEnd"/>
      <w:r>
        <w:t xml:space="preserve"> leje</w:t>
      </w:r>
      <w:r w:rsidR="008A0371">
        <w:t xml:space="preserve"> og v</w:t>
      </w:r>
      <w:r w:rsidR="00DD49CD">
        <w:t>æske</w:t>
      </w:r>
      <w:r w:rsidR="008A0371">
        <w:t>.</w:t>
      </w:r>
    </w:p>
    <w:p w14:paraId="623A70B6" w14:textId="5A905E56" w:rsidR="00341863" w:rsidRDefault="00BB3FD6" w:rsidP="00BB3FD6">
      <w:r>
        <w:t>Donor kommer ofte til sig selv efter få sekunder</w:t>
      </w:r>
      <w:r w:rsidR="008A0371">
        <w:t xml:space="preserve"> efter en </w:t>
      </w:r>
      <w:proofErr w:type="spellStart"/>
      <w:r w:rsidR="008A0371">
        <w:t>vasovagal</w:t>
      </w:r>
      <w:proofErr w:type="spellEnd"/>
      <w:r w:rsidR="008A0371">
        <w:t xml:space="preserve"> reaktion.</w:t>
      </w:r>
      <w:r>
        <w:t xml:space="preserve"> Evt. behandling afhænger af</w:t>
      </w:r>
      <w:r w:rsidR="00DD49CD">
        <w:t>,</w:t>
      </w:r>
      <w:r>
        <w:t xml:space="preserve"> om donor er kommet til skade og om donor hurtigt kommer til sig selv og ikke har symptomer efterfølgende. Donor </w:t>
      </w:r>
      <w:r w:rsidR="00984CA3">
        <w:t>bør</w:t>
      </w:r>
      <w:r>
        <w:t xml:space="preserve"> observeres i blodbanken/skadestuen</w:t>
      </w:r>
      <w:r w:rsidR="00265E27">
        <w:t>,</w:t>
      </w:r>
      <w:r w:rsidR="00984CA3">
        <w:t xml:space="preserve"> indtil donor igen er velbefindende og tryg ved at tage hjem</w:t>
      </w:r>
      <w:r w:rsidR="00006CEB">
        <w:t>.</w:t>
      </w:r>
      <w:r w:rsidR="00341863">
        <w:t xml:space="preserve"> </w:t>
      </w:r>
      <w:r w:rsidR="00C454EA">
        <w:t>Hvis muligt, bør d</w:t>
      </w:r>
      <w:r w:rsidR="008A0371" w:rsidRPr="00C454EA">
        <w:t>onor så vidt muligt</w:t>
      </w:r>
      <w:r w:rsidR="00C454EA">
        <w:t xml:space="preserve"> ledsages hjem </w:t>
      </w:r>
      <w:r w:rsidR="008A0371" w:rsidRPr="00C454EA">
        <w:t>og ikke være alene de første 2-4 timer efter tapning.</w:t>
      </w:r>
    </w:p>
    <w:p w14:paraId="4637EA67" w14:textId="7795ACD4" w:rsidR="00341863" w:rsidRDefault="00341863" w:rsidP="00BB3FD6">
      <w:r>
        <w:t xml:space="preserve">En </w:t>
      </w:r>
      <w:proofErr w:type="spellStart"/>
      <w:r>
        <w:t>vasovagal</w:t>
      </w:r>
      <w:proofErr w:type="spellEnd"/>
      <w:r>
        <w:t xml:space="preserve"> reaktion kan virke meget overvældende især </w:t>
      </w:r>
      <w:r w:rsidR="00265E27">
        <w:t xml:space="preserve">for </w:t>
      </w:r>
      <w:r>
        <w:t>førstegangsdonorer. Det kan derfor have stor indflydelse på deres lyst til at komme igen.</w:t>
      </w:r>
      <w:r w:rsidR="00C746DE">
        <w:t xml:space="preserve">   </w:t>
      </w:r>
    </w:p>
    <w:p w14:paraId="062E988E" w14:textId="65673436" w:rsidR="00BB3FD6" w:rsidRPr="00BB3FD6" w:rsidRDefault="00341863" w:rsidP="00BB3FD6">
      <w:r>
        <w:t>Det er vigtigt at sørge for, at donor føler sig tryg og forstår</w:t>
      </w:r>
      <w:r w:rsidR="00265E27">
        <w:t>,</w:t>
      </w:r>
      <w:r>
        <w:t xml:space="preserve"> at gentagelsesrisiko er lav</w:t>
      </w:r>
      <w:r w:rsidR="003F220C">
        <w:rPr>
          <w:rStyle w:val="Fodnotehenvisning"/>
        </w:rPr>
        <w:footnoteReference w:id="17"/>
      </w:r>
      <w:r>
        <w:t>. Der kan med fordel rådgives om rigeligt væskeindtag inden næste donation, samt forebyggende tiltag beskrevet</w:t>
      </w:r>
      <w:r w:rsidR="00F67762">
        <w:t xml:space="preserve"> i afsnit om profylakse</w:t>
      </w:r>
      <w:r>
        <w:t xml:space="preserve">. Eventuelt </w:t>
      </w:r>
      <w:r w:rsidR="00C746DE">
        <w:t xml:space="preserve">kan man sammen med donor undersøge, om der er en oplagt årsag </w:t>
      </w:r>
      <w:r w:rsidR="00F67762">
        <w:t>fx f</w:t>
      </w:r>
      <w:r w:rsidR="00C746DE">
        <w:t>or lidt væske eller fødeindtag op til donationen.</w:t>
      </w:r>
      <w:r w:rsidR="00DD49CD">
        <w:t xml:space="preserve"> </w:t>
      </w:r>
    </w:p>
    <w:p w14:paraId="657D33E4" w14:textId="0D340AEF" w:rsidR="00EC3460" w:rsidRDefault="00EC3460" w:rsidP="00EC3460"/>
    <w:p w14:paraId="20941DAF" w14:textId="77777777" w:rsidR="002A0F2F" w:rsidRDefault="002A0F2F" w:rsidP="00EC3460"/>
    <w:p w14:paraId="6A0921DD" w14:textId="0B91DB21" w:rsidR="00585013" w:rsidRPr="00F912F8" w:rsidRDefault="00585013" w:rsidP="00585013">
      <w:pPr>
        <w:pStyle w:val="Overskrift2"/>
        <w:rPr>
          <w:b/>
          <w:bCs/>
        </w:rPr>
      </w:pPr>
      <w:bookmarkStart w:id="21" w:name="_Toc170715528"/>
      <w:r w:rsidRPr="00F912F8">
        <w:rPr>
          <w:b/>
          <w:bCs/>
        </w:rPr>
        <w:t>Citratføling</w:t>
      </w:r>
      <w:bookmarkEnd w:id="21"/>
    </w:p>
    <w:p w14:paraId="5F4C3ED6" w14:textId="25049FAD" w:rsidR="00585013" w:rsidRDefault="00556985" w:rsidP="00F912F8">
      <w:pPr>
        <w:pStyle w:val="Undertitel"/>
        <w:rPr>
          <w:rFonts w:eastAsiaTheme="majorEastAsia"/>
        </w:rPr>
      </w:pPr>
      <w:r w:rsidRPr="00556985">
        <w:rPr>
          <w:rFonts w:eastAsiaTheme="majorEastAsia"/>
        </w:rPr>
        <w:t>Årsag, symptomer og objektive fund</w:t>
      </w:r>
    </w:p>
    <w:p w14:paraId="72AFC005" w14:textId="1CAFE103" w:rsidR="00627018" w:rsidRDefault="00BE075B" w:rsidP="00EC3460">
      <w:r>
        <w:t xml:space="preserve">Citrat anvendes som antikoagulation under </w:t>
      </w:r>
      <w:proofErr w:type="spellStart"/>
      <w:r>
        <w:t>afereseprocedurer</w:t>
      </w:r>
      <w:proofErr w:type="spellEnd"/>
      <w:r>
        <w:t xml:space="preserve">. Citrat </w:t>
      </w:r>
      <w:r w:rsidR="00AD2526">
        <w:t>binder calcium</w:t>
      </w:r>
      <w:r>
        <w:t xml:space="preserve"> og sænker </w:t>
      </w:r>
      <w:r w:rsidR="00AD2526">
        <w:t xml:space="preserve">derfor </w:t>
      </w:r>
      <w:r>
        <w:t>niveauet af ioniseret calcium</w:t>
      </w:r>
      <w:r w:rsidR="00AD2526">
        <w:t xml:space="preserve"> i plasma</w:t>
      </w:r>
      <w:r w:rsidR="00A93BEF">
        <w:t xml:space="preserve">. Samtidig </w:t>
      </w:r>
      <w:r>
        <w:t>ses også en påvirkning af andre elektrolytter</w:t>
      </w:r>
      <w:r>
        <w:rPr>
          <w:rStyle w:val="Fodnotehenvisning"/>
        </w:rPr>
        <w:footnoteReference w:id="18"/>
      </w:r>
      <w:r>
        <w:t>.</w:t>
      </w:r>
      <w:r w:rsidR="00627018">
        <w:t xml:space="preserve"> </w:t>
      </w:r>
      <w:r w:rsidR="008961B6">
        <w:t xml:space="preserve">Lav calcium i </w:t>
      </w:r>
      <w:r w:rsidR="008A0371">
        <w:t>plasma kan</w:t>
      </w:r>
      <w:r w:rsidR="008961B6">
        <w:t xml:space="preserve"> give </w:t>
      </w:r>
      <w:r w:rsidR="00627018">
        <w:t xml:space="preserve">symptomer i form af </w:t>
      </w:r>
      <w:r w:rsidR="00A93BEF" w:rsidRPr="00A93BEF">
        <w:t>prikken</w:t>
      </w:r>
      <w:r w:rsidR="007B6862">
        <w:t xml:space="preserve">, </w:t>
      </w:r>
      <w:r w:rsidR="00A93BEF" w:rsidRPr="00A93BEF">
        <w:t>stikken</w:t>
      </w:r>
      <w:r w:rsidR="007B6862">
        <w:t xml:space="preserve"> eller </w:t>
      </w:r>
      <w:r w:rsidR="00171177">
        <w:t>snurren</w:t>
      </w:r>
      <w:r w:rsidR="00F467C4">
        <w:t xml:space="preserve"> </w:t>
      </w:r>
      <w:r w:rsidR="007B6862">
        <w:t>omkring</w:t>
      </w:r>
      <w:r w:rsidR="00A93BEF" w:rsidRPr="00A93BEF">
        <w:t xml:space="preserve"> mund</w:t>
      </w:r>
      <w:r w:rsidR="00AE42D3">
        <w:t>/</w:t>
      </w:r>
      <w:r w:rsidR="00F467C4">
        <w:t>læber</w:t>
      </w:r>
      <w:r w:rsidR="00C454EA">
        <w:t xml:space="preserve">, </w:t>
      </w:r>
      <w:r w:rsidR="007B6862">
        <w:t>i</w:t>
      </w:r>
      <w:r w:rsidR="00C454EA">
        <w:t xml:space="preserve"> </w:t>
      </w:r>
      <w:r w:rsidR="00A93BEF" w:rsidRPr="00A93BEF">
        <w:t xml:space="preserve">fingre, </w:t>
      </w:r>
      <w:r w:rsidR="00A93BEF" w:rsidRPr="00A93BEF">
        <w:lastRenderedPageBreak/>
        <w:t>metalsmag, hovedpine, kvalme, opkastning</w:t>
      </w:r>
      <w:r w:rsidR="00C454EA">
        <w:t xml:space="preserve"> </w:t>
      </w:r>
      <w:r w:rsidR="007B6862">
        <w:t>samt</w:t>
      </w:r>
      <w:r w:rsidR="00A93BEF" w:rsidRPr="00A93BEF">
        <w:t xml:space="preserve"> </w:t>
      </w:r>
      <w:r w:rsidR="00D4449A" w:rsidRPr="00A93BEF">
        <w:t>muskelsammentrækninger.</w:t>
      </w:r>
      <w:r w:rsidR="00627018">
        <w:t xml:space="preserve"> </w:t>
      </w:r>
      <w:r w:rsidR="008961B6">
        <w:t>Disse symptomer går også under betegnelsen ”citratføling”.</w:t>
      </w:r>
    </w:p>
    <w:p w14:paraId="62AF8EAB" w14:textId="57352798" w:rsidR="00627018" w:rsidRDefault="001A5C14" w:rsidP="00EC3460">
      <w:r>
        <w:t xml:space="preserve">Citratføling </w:t>
      </w:r>
      <w:r w:rsidR="00081A7F">
        <w:t>kan opstå</w:t>
      </w:r>
      <w:r>
        <w:t xml:space="preserve"> ved </w:t>
      </w:r>
      <w:proofErr w:type="spellStart"/>
      <w:r>
        <w:t>aferesetapninger</w:t>
      </w:r>
      <w:proofErr w:type="spellEnd"/>
      <w:r>
        <w:t xml:space="preserve">. </w:t>
      </w:r>
      <w:r w:rsidR="00627018">
        <w:t xml:space="preserve">Ved </w:t>
      </w:r>
      <w:proofErr w:type="spellStart"/>
      <w:r w:rsidR="00627018">
        <w:t>plasmaferese</w:t>
      </w:r>
      <w:proofErr w:type="spellEnd"/>
      <w:r w:rsidR="00627018">
        <w:t xml:space="preserve"> vil en betydelig del af </w:t>
      </w:r>
      <w:proofErr w:type="spellStart"/>
      <w:r w:rsidR="00627018">
        <w:t>citraten</w:t>
      </w:r>
      <w:proofErr w:type="spellEnd"/>
      <w:r w:rsidR="00627018">
        <w:t xml:space="preserve"> blive opsamlet med det donerede plasma</w:t>
      </w:r>
      <w:r w:rsidR="00AD2526">
        <w:t>,</w:t>
      </w:r>
      <w:r w:rsidR="00627018">
        <w:t xml:space="preserve"> hvorfor citratføling anses som mindre betydende</w:t>
      </w:r>
      <w:r w:rsidR="00627018">
        <w:rPr>
          <w:rStyle w:val="Fodnotehenvisning"/>
        </w:rPr>
        <w:footnoteReference w:id="19"/>
      </w:r>
      <w:r w:rsidR="00627018">
        <w:t xml:space="preserve">. Ved </w:t>
      </w:r>
      <w:proofErr w:type="spellStart"/>
      <w:r w:rsidR="00627018">
        <w:t>trombaferese</w:t>
      </w:r>
      <w:proofErr w:type="spellEnd"/>
      <w:r w:rsidR="00AD2526">
        <w:t>,</w:t>
      </w:r>
      <w:r w:rsidR="00627018">
        <w:t xml:space="preserve"> hvor der opsamles en mindre mængde plasma og hvor donationen varer længere, får donor en større mængde citrat </w:t>
      </w:r>
      <w:r w:rsidR="00A93BEF">
        <w:t xml:space="preserve">og </w:t>
      </w:r>
      <w:r w:rsidR="00627018">
        <w:t xml:space="preserve">risikoen for citratføling </w:t>
      </w:r>
      <w:r w:rsidR="00A93BEF">
        <w:t xml:space="preserve">er </w:t>
      </w:r>
      <w:r w:rsidR="00627018">
        <w:t xml:space="preserve">større. </w:t>
      </w:r>
    </w:p>
    <w:p w14:paraId="155941EA" w14:textId="5706A1C5" w:rsidR="00585013" w:rsidRDefault="00BE075B" w:rsidP="00F912F8">
      <w:pPr>
        <w:pStyle w:val="Undertitel"/>
      </w:pPr>
      <w:r w:rsidRPr="003F4FEF">
        <w:t>B</w:t>
      </w:r>
      <w:r w:rsidR="00556985" w:rsidRPr="00556985">
        <w:rPr>
          <w:rFonts w:eastAsiaTheme="majorEastAsia"/>
        </w:rPr>
        <w:t>ehandling og prognose</w:t>
      </w:r>
    </w:p>
    <w:p w14:paraId="42EEC0FB" w14:textId="539938EA" w:rsidR="00585013" w:rsidRDefault="00627018" w:rsidP="00EC3460">
      <w:r>
        <w:t xml:space="preserve">Donor tilbydes </w:t>
      </w:r>
      <w:r w:rsidR="00A93BEF">
        <w:t>calciumholdige</w:t>
      </w:r>
      <w:r>
        <w:t xml:space="preserve"> drikke. Ved </w:t>
      </w:r>
      <w:r w:rsidR="008961B6">
        <w:t xml:space="preserve">udtalte </w:t>
      </w:r>
      <w:r w:rsidR="00611D99">
        <w:t xml:space="preserve">symptomer gives calcium brusetabletter. Symptomerne er kortvarige og forsvinder ca. 15 min. efter donationen </w:t>
      </w:r>
      <w:r w:rsidR="008A0371">
        <w:t xml:space="preserve">(tilførsel af citrat) </w:t>
      </w:r>
      <w:r w:rsidR="00611D99">
        <w:t xml:space="preserve">er ophørt. </w:t>
      </w:r>
    </w:p>
    <w:p w14:paraId="748EE43B" w14:textId="0D6C8B33" w:rsidR="00611D99" w:rsidRDefault="00611D99" w:rsidP="00EC3460"/>
    <w:p w14:paraId="1824EC23" w14:textId="77777777" w:rsidR="00796612" w:rsidRPr="00EC3460" w:rsidRDefault="00796612" w:rsidP="00EC3460"/>
    <w:p w14:paraId="41E4CD0D" w14:textId="66A51FEF" w:rsidR="00EA4D9F" w:rsidRPr="00F912F8" w:rsidRDefault="00585013" w:rsidP="00585013">
      <w:pPr>
        <w:pStyle w:val="Overskrift2"/>
        <w:rPr>
          <w:b/>
          <w:bCs/>
        </w:rPr>
      </w:pPr>
      <w:bookmarkStart w:id="22" w:name="_Toc170715529"/>
      <w:r w:rsidRPr="00F912F8">
        <w:rPr>
          <w:b/>
          <w:bCs/>
        </w:rPr>
        <w:t>Andre</w:t>
      </w:r>
      <w:r w:rsidR="00631190" w:rsidRPr="00F912F8">
        <w:rPr>
          <w:b/>
          <w:bCs/>
        </w:rPr>
        <w:t xml:space="preserve"> bivirkninger</w:t>
      </w:r>
      <w:bookmarkEnd w:id="22"/>
    </w:p>
    <w:p w14:paraId="08F1CB6E" w14:textId="28D6A92A" w:rsidR="00585013" w:rsidRDefault="00556985" w:rsidP="00F912F8">
      <w:pPr>
        <w:pStyle w:val="Undertitel"/>
        <w:rPr>
          <w:rFonts w:eastAsiaTheme="majorEastAsia"/>
        </w:rPr>
      </w:pPr>
      <w:r w:rsidRPr="00556985">
        <w:rPr>
          <w:rFonts w:eastAsiaTheme="majorEastAsia"/>
        </w:rPr>
        <w:t>Årsag, symptomer og objektive fund</w:t>
      </w:r>
    </w:p>
    <w:p w14:paraId="10D2A843" w14:textId="2D3CDD25" w:rsidR="00265E27" w:rsidRPr="00E8233B" w:rsidRDefault="00265E27" w:rsidP="00E8233B">
      <w:pPr>
        <w:spacing w:after="0"/>
        <w:rPr>
          <w:b/>
        </w:rPr>
      </w:pPr>
      <w:r>
        <w:rPr>
          <w:b/>
        </w:rPr>
        <w:t>I</w:t>
      </w:r>
      <w:r w:rsidR="002E13E2">
        <w:rPr>
          <w:b/>
        </w:rPr>
        <w:t>n</w:t>
      </w:r>
      <w:r>
        <w:rPr>
          <w:b/>
        </w:rPr>
        <w:t>filtration</w:t>
      </w:r>
    </w:p>
    <w:p w14:paraId="47A618C8" w14:textId="1811BC4C" w:rsidR="00611D99" w:rsidRDefault="00611D99" w:rsidP="00611D99">
      <w:r>
        <w:t>Infiltration ses</w:t>
      </w:r>
      <w:r w:rsidR="00AD2526">
        <w:t>,</w:t>
      </w:r>
      <w:r>
        <w:t xml:space="preserve"> hvis nålen går sub</w:t>
      </w:r>
      <w:r w:rsidR="00081A7F">
        <w:t>k</w:t>
      </w:r>
      <w:r>
        <w:t xml:space="preserve">utant </w:t>
      </w:r>
      <w:r w:rsidR="008A0371">
        <w:t>under en</w:t>
      </w:r>
      <w:r w:rsidR="00081A7F">
        <w:t xml:space="preserve"> </w:t>
      </w:r>
      <w:proofErr w:type="spellStart"/>
      <w:r>
        <w:t>afereseprocedure</w:t>
      </w:r>
      <w:proofErr w:type="spellEnd"/>
      <w:r>
        <w:t xml:space="preserve"> og den </w:t>
      </w:r>
      <w:proofErr w:type="spellStart"/>
      <w:r>
        <w:t>tilbagegivne</w:t>
      </w:r>
      <w:proofErr w:type="spellEnd"/>
      <w:r>
        <w:t xml:space="preserve"> væske løber ud i det sub</w:t>
      </w:r>
      <w:r w:rsidR="00081A7F">
        <w:t>k</w:t>
      </w:r>
      <w:r>
        <w:t xml:space="preserve">utane væv. Der ses en </w:t>
      </w:r>
      <w:proofErr w:type="spellStart"/>
      <w:r>
        <w:t>ødematøs</w:t>
      </w:r>
      <w:proofErr w:type="spellEnd"/>
      <w:r>
        <w:t xml:space="preserve"> hævelse ved indstikssted og donor kan have smerter. </w:t>
      </w:r>
    </w:p>
    <w:p w14:paraId="77E506BB" w14:textId="49D5F7E5" w:rsidR="00265E27" w:rsidRPr="00E8233B" w:rsidRDefault="00265E27" w:rsidP="00E8233B">
      <w:pPr>
        <w:spacing w:after="0"/>
        <w:rPr>
          <w:b/>
        </w:rPr>
      </w:pPr>
      <w:r>
        <w:rPr>
          <w:b/>
        </w:rPr>
        <w:t>Allergiske reaktioner</w:t>
      </w:r>
    </w:p>
    <w:p w14:paraId="4E24824E" w14:textId="3CD0E8F3" w:rsidR="00611D99" w:rsidRDefault="00611D99" w:rsidP="00611D99">
      <w:r>
        <w:t>Donor kan få allergiske reaktioner</w:t>
      </w:r>
      <w:r w:rsidR="00B31032">
        <w:t>. Formentlig som reaktion</w:t>
      </w:r>
      <w:r>
        <w:t xml:space="preserve"> mod indholdsstoffer i kanylen</w:t>
      </w:r>
      <w:r w:rsidR="008A0371">
        <w:t xml:space="preserve">, </w:t>
      </w:r>
      <w:r>
        <w:t>posesættet</w:t>
      </w:r>
      <w:r w:rsidR="008A0371">
        <w:t xml:space="preserve"> eller det anvendte citrat</w:t>
      </w:r>
      <w:r>
        <w:t>. Det kan vise sig som</w:t>
      </w:r>
      <w:r w:rsidR="008A0371">
        <w:t xml:space="preserve"> </w:t>
      </w:r>
      <w:r w:rsidR="00AD2526">
        <w:t>nældefeber</w:t>
      </w:r>
      <w:r>
        <w:t xml:space="preserve"> eller decidere</w:t>
      </w:r>
      <w:r w:rsidR="002E13E2">
        <w:t>de</w:t>
      </w:r>
      <w:r>
        <w:t xml:space="preserve"> </w:t>
      </w:r>
      <w:proofErr w:type="spellStart"/>
      <w:r>
        <w:t>anafylaktiske</w:t>
      </w:r>
      <w:proofErr w:type="spellEnd"/>
      <w:r>
        <w:t xml:space="preserve"> reaktioner. Allergiske reaktioner er generelt sjældne.</w:t>
      </w:r>
    </w:p>
    <w:p w14:paraId="19F03C0A" w14:textId="3560EA5B" w:rsidR="00265E27" w:rsidRPr="00E8233B" w:rsidRDefault="00265E27" w:rsidP="00E8233B">
      <w:pPr>
        <w:spacing w:after="0"/>
        <w:rPr>
          <w:b/>
        </w:rPr>
      </w:pPr>
      <w:r>
        <w:rPr>
          <w:b/>
        </w:rPr>
        <w:t>Dyb venetrombose</w:t>
      </w:r>
    </w:p>
    <w:p w14:paraId="7C5D6CFD" w14:textId="1B5B8E1B" w:rsidR="00611D99" w:rsidRDefault="00331107" w:rsidP="00611D99">
      <w:r>
        <w:t>D</w:t>
      </w:r>
      <w:r w:rsidR="00611D99">
        <w:t>yb venetrombose</w:t>
      </w:r>
      <w:r>
        <w:t xml:space="preserve"> er en meget sjælden bivirkning, men det er vigtigt at man er opmærksom på risikoen, specielt hos donorer hvor symptomerne ikke bedres som forventet</w:t>
      </w:r>
      <w:r w:rsidR="00611D99">
        <w:t xml:space="preserve">. </w:t>
      </w:r>
      <w:r>
        <w:t>Typiske symptomer vil være en</w:t>
      </w:r>
      <w:r w:rsidR="00611D99">
        <w:t xml:space="preserve"> hævet og smertefuld arm.</w:t>
      </w:r>
    </w:p>
    <w:p w14:paraId="6D74D635" w14:textId="74A4CD9C" w:rsidR="00265E27" w:rsidRPr="00E8233B" w:rsidRDefault="00265E27" w:rsidP="00E8233B">
      <w:pPr>
        <w:spacing w:after="0"/>
        <w:rPr>
          <w:b/>
        </w:rPr>
      </w:pPr>
      <w:r>
        <w:rPr>
          <w:b/>
        </w:rPr>
        <w:t>Sjældne, alvorlige bivirkninger</w:t>
      </w:r>
    </w:p>
    <w:p w14:paraId="0A3C9192" w14:textId="342090F1" w:rsidR="00611D99" w:rsidRPr="00585013" w:rsidRDefault="00611D99" w:rsidP="00611D99">
      <w:proofErr w:type="spellStart"/>
      <w:r>
        <w:t>Luftemboli</w:t>
      </w:r>
      <w:proofErr w:type="spellEnd"/>
      <w:r>
        <w:t xml:space="preserve"> ses ikke med de </w:t>
      </w:r>
      <w:r w:rsidR="00331107">
        <w:t>fuldblods</w:t>
      </w:r>
      <w:r>
        <w:t>tappesæt som anvendes i DK</w:t>
      </w:r>
      <w:r w:rsidR="00331107">
        <w:t xml:space="preserve">, men kan i teorien opstå ved forkert håndtering af </w:t>
      </w:r>
      <w:proofErr w:type="spellStart"/>
      <w:r w:rsidR="00331107">
        <w:t>aferesemaskiner</w:t>
      </w:r>
      <w:proofErr w:type="spellEnd"/>
      <w:r>
        <w:t>.</w:t>
      </w:r>
      <w:r w:rsidR="00331107">
        <w:t xml:space="preserve"> Typiske symptomer på </w:t>
      </w:r>
      <w:proofErr w:type="spellStart"/>
      <w:r w:rsidR="00331107">
        <w:t>luftemboli</w:t>
      </w:r>
      <w:proofErr w:type="spellEnd"/>
      <w:r w:rsidR="00331107">
        <w:t xml:space="preserve"> er akut opstået åndenød og brystsmerter.</w:t>
      </w:r>
      <w:r>
        <w:t xml:space="preserve"> </w:t>
      </w:r>
      <w:r w:rsidR="00AD2526">
        <w:t>A</w:t>
      </w:r>
      <w:r w:rsidR="00331107">
        <w:t>ndre a</w:t>
      </w:r>
      <w:r w:rsidR="00AD2526">
        <w:t xml:space="preserve">lvorlige og livstruende bivirkninger er meget, meget sjældne. De kan være enten akut hjertesygdom eller symptomer på blodprop eller blødning i hjernen. </w:t>
      </w:r>
    </w:p>
    <w:p w14:paraId="75242CE6" w14:textId="18EFC5D4" w:rsidR="00585013" w:rsidRDefault="00556985" w:rsidP="00F912F8">
      <w:pPr>
        <w:pStyle w:val="Undertitel"/>
      </w:pPr>
      <w:r w:rsidRPr="00556985">
        <w:rPr>
          <w:rFonts w:eastAsiaTheme="majorEastAsia"/>
        </w:rPr>
        <w:t>Behandling og prognose</w:t>
      </w:r>
    </w:p>
    <w:p w14:paraId="7F8ABC48" w14:textId="260694CF" w:rsidR="00611D99" w:rsidRDefault="00611D99">
      <w:r>
        <w:t>Ved infiltration stoppes proceduren. Væsken i det sub</w:t>
      </w:r>
      <w:r w:rsidR="0047455A">
        <w:t>k</w:t>
      </w:r>
      <w:r>
        <w:t>utane væv vil blive absor</w:t>
      </w:r>
      <w:r w:rsidR="008961B6">
        <w:t>b</w:t>
      </w:r>
      <w:r>
        <w:t xml:space="preserve">eret og forsvinde af sig selv. </w:t>
      </w:r>
    </w:p>
    <w:p w14:paraId="7838916B" w14:textId="24FD402F" w:rsidR="00AD2526" w:rsidRDefault="0047455A">
      <w:r>
        <w:t>Ø</w:t>
      </w:r>
      <w:r w:rsidR="00E60F44">
        <w:t xml:space="preserve">vrige bivirkninger </w:t>
      </w:r>
      <w:r>
        <w:t>behandles</w:t>
      </w:r>
      <w:r w:rsidR="00E60F44">
        <w:t xml:space="preserve"> symptomatisk</w:t>
      </w:r>
      <w:r w:rsidR="00EE3CAC">
        <w:t>.</w:t>
      </w:r>
      <w:r w:rsidR="00E60F44">
        <w:t xml:space="preserve"> </w:t>
      </w:r>
      <w:r w:rsidR="00AD2526">
        <w:t xml:space="preserve">Ved tegn på alvorlige eller livstruende bivirkning skal der akut kaldes hjælp, enten i form af 112 eller </w:t>
      </w:r>
      <w:r w:rsidR="00331107">
        <w:t xml:space="preserve">i henhold til </w:t>
      </w:r>
      <w:r w:rsidR="00AD2526">
        <w:t xml:space="preserve">lokal instruks for hjertestop/akutkald. </w:t>
      </w:r>
    </w:p>
    <w:p w14:paraId="08317692" w14:textId="4DFD9A64" w:rsidR="00E60F44" w:rsidRDefault="00E60F44">
      <w:r>
        <w:t xml:space="preserve"> </w:t>
      </w:r>
    </w:p>
    <w:p w14:paraId="6B8100D5" w14:textId="77777777" w:rsidR="006A5932" w:rsidRDefault="006A5932" w:rsidP="002F2595">
      <w:pPr>
        <w:pStyle w:val="Overskrift1"/>
        <w:sectPr w:rsidR="006A5932">
          <w:pgSz w:w="11906" w:h="16838"/>
          <w:pgMar w:top="1701" w:right="1134" w:bottom="1701" w:left="1134" w:header="708" w:footer="708" w:gutter="0"/>
          <w:cols w:space="708"/>
          <w:docGrid w:linePitch="360"/>
        </w:sectPr>
      </w:pPr>
    </w:p>
    <w:p w14:paraId="48B6DADC" w14:textId="77777777" w:rsidR="006A5932" w:rsidRDefault="006A5932" w:rsidP="002F2595">
      <w:pPr>
        <w:pStyle w:val="Overskrift1"/>
        <w:sectPr w:rsidR="006A5932" w:rsidSect="006A5932">
          <w:type w:val="continuous"/>
          <w:pgSz w:w="11906" w:h="16838"/>
          <w:pgMar w:top="1701" w:right="1134" w:bottom="1701" w:left="1134" w:header="708" w:footer="708" w:gutter="0"/>
          <w:cols w:space="708"/>
          <w:docGrid w:linePitch="360"/>
        </w:sectPr>
      </w:pPr>
    </w:p>
    <w:p w14:paraId="1518DE6C" w14:textId="4F09DED8" w:rsidR="00F0634B" w:rsidRDefault="002F2595" w:rsidP="002F2595">
      <w:pPr>
        <w:pStyle w:val="Overskrift1"/>
      </w:pPr>
      <w:bookmarkStart w:id="23" w:name="_Toc170715530"/>
      <w:r>
        <w:lastRenderedPageBreak/>
        <w:t>Bilag</w:t>
      </w:r>
      <w:bookmarkEnd w:id="23"/>
    </w:p>
    <w:p w14:paraId="3F09114C" w14:textId="59158A00" w:rsidR="009A1294" w:rsidRPr="00B31032" w:rsidRDefault="009A1294" w:rsidP="009A1294">
      <w:pPr>
        <w:pStyle w:val="Overskrift2"/>
        <w:rPr>
          <w:b/>
          <w:bCs/>
        </w:rPr>
      </w:pPr>
      <w:bookmarkStart w:id="24" w:name="_Toc170715531"/>
      <w:r w:rsidRPr="00B31032">
        <w:rPr>
          <w:b/>
          <w:bCs/>
        </w:rPr>
        <w:t>Bilag 1 bivirkningskategorier, sværhedsgrad og årsagssammenhæng</w:t>
      </w:r>
      <w:bookmarkEnd w:id="24"/>
    </w:p>
    <w:p w14:paraId="75195B40" w14:textId="77777777" w:rsidR="009A1294" w:rsidRDefault="009A1294" w:rsidP="00EE3CAC"/>
    <w:p w14:paraId="68E98A16" w14:textId="18945653" w:rsidR="009A1294" w:rsidRPr="0040743C" w:rsidRDefault="009A1294" w:rsidP="00EE3CAC">
      <w:pPr>
        <w:rPr>
          <w:sz w:val="16"/>
          <w:szCs w:val="16"/>
        </w:rPr>
      </w:pPr>
      <w:r>
        <w:t>Tabel 1 bivirkningskategorier</w:t>
      </w:r>
      <w:r w:rsidR="0026560C">
        <w:rPr>
          <w:rStyle w:val="Fodnotehenvisning"/>
        </w:rPr>
        <w:footnoteReference w:id="20"/>
      </w:r>
      <w:r w:rsidR="0040743C">
        <w:br/>
      </w:r>
      <w:r w:rsidR="0040743C" w:rsidRPr="0040743C">
        <w:rPr>
          <w:sz w:val="16"/>
          <w:szCs w:val="16"/>
        </w:rPr>
        <w:t xml:space="preserve">Koder anvendt til registrering i </w:t>
      </w:r>
      <w:proofErr w:type="spellStart"/>
      <w:r w:rsidR="0040743C" w:rsidRPr="0040743C">
        <w:rPr>
          <w:sz w:val="16"/>
          <w:szCs w:val="16"/>
        </w:rPr>
        <w:t>Blödflödet</w:t>
      </w:r>
      <w:proofErr w:type="spellEnd"/>
      <w:r w:rsidR="0040743C" w:rsidRPr="0040743C">
        <w:rPr>
          <w:sz w:val="16"/>
          <w:szCs w:val="16"/>
        </w:rPr>
        <w:t>, se version 1.2</w:t>
      </w:r>
    </w:p>
    <w:tbl>
      <w:tblPr>
        <w:tblStyle w:val="Tabel-Gitter"/>
        <w:tblpPr w:leftFromText="141" w:rightFromText="141" w:vertAnchor="text" w:tblpX="-157" w:tblpY="1"/>
        <w:tblOverlap w:val="never"/>
        <w:tblW w:w="9483" w:type="dxa"/>
        <w:tblLook w:val="04A0" w:firstRow="1" w:lastRow="0" w:firstColumn="1" w:lastColumn="0" w:noHBand="0" w:noVBand="1"/>
      </w:tblPr>
      <w:tblGrid>
        <w:gridCol w:w="817"/>
        <w:gridCol w:w="1709"/>
        <w:gridCol w:w="2262"/>
        <w:gridCol w:w="4695"/>
      </w:tblGrid>
      <w:tr w:rsidR="0040743C" w:rsidRPr="007B5A0A" w14:paraId="1D72520D" w14:textId="77777777" w:rsidTr="00797E98">
        <w:tc>
          <w:tcPr>
            <w:tcW w:w="817" w:type="dxa"/>
            <w:tcBorders>
              <w:left w:val="single" w:sz="12" w:space="0" w:color="auto"/>
              <w:bottom w:val="single" w:sz="12" w:space="0" w:color="auto"/>
            </w:tcBorders>
            <w:shd w:val="clear" w:color="auto" w:fill="F2F2F2" w:themeFill="background1" w:themeFillShade="F2"/>
          </w:tcPr>
          <w:p w14:paraId="0BC860EF" w14:textId="77777777" w:rsidR="0040743C" w:rsidRPr="007B5A0A" w:rsidRDefault="0040743C" w:rsidP="0040743C">
            <w:pPr>
              <w:spacing w:after="160" w:line="259" w:lineRule="auto"/>
              <w:rPr>
                <w:b/>
                <w:sz w:val="18"/>
                <w:szCs w:val="18"/>
              </w:rPr>
            </w:pPr>
            <w:r w:rsidRPr="007B5A0A">
              <w:rPr>
                <w:b/>
                <w:sz w:val="18"/>
                <w:szCs w:val="18"/>
              </w:rPr>
              <w:t>Pro-sang*</w:t>
            </w:r>
          </w:p>
        </w:tc>
        <w:tc>
          <w:tcPr>
            <w:tcW w:w="1709" w:type="dxa"/>
            <w:tcBorders>
              <w:bottom w:val="single" w:sz="12" w:space="0" w:color="auto"/>
            </w:tcBorders>
            <w:shd w:val="clear" w:color="auto" w:fill="F2F2F2" w:themeFill="background1" w:themeFillShade="F2"/>
            <w:vAlign w:val="center"/>
          </w:tcPr>
          <w:p w14:paraId="7FD6E061" w14:textId="1BDEF4FB" w:rsidR="0040743C" w:rsidRPr="007B5A0A" w:rsidRDefault="0040743C" w:rsidP="0040743C">
            <w:pPr>
              <w:spacing w:after="160" w:line="259" w:lineRule="auto"/>
              <w:rPr>
                <w:b/>
                <w:sz w:val="18"/>
                <w:szCs w:val="18"/>
              </w:rPr>
            </w:pPr>
            <w:r w:rsidRPr="007B5A0A">
              <w:rPr>
                <w:b/>
                <w:sz w:val="18"/>
                <w:szCs w:val="18"/>
              </w:rPr>
              <w:t>Overkategori</w:t>
            </w:r>
          </w:p>
        </w:tc>
        <w:tc>
          <w:tcPr>
            <w:tcW w:w="2262" w:type="dxa"/>
            <w:tcBorders>
              <w:bottom w:val="single" w:sz="12" w:space="0" w:color="auto"/>
            </w:tcBorders>
            <w:shd w:val="clear" w:color="auto" w:fill="F2F2F2" w:themeFill="background1" w:themeFillShade="F2"/>
            <w:vAlign w:val="center"/>
          </w:tcPr>
          <w:p w14:paraId="716AF56D" w14:textId="53690EBC" w:rsidR="0040743C" w:rsidRPr="007B5A0A" w:rsidRDefault="0040743C" w:rsidP="0040743C">
            <w:pPr>
              <w:spacing w:after="160" w:line="259" w:lineRule="auto"/>
              <w:rPr>
                <w:b/>
                <w:sz w:val="18"/>
                <w:szCs w:val="18"/>
              </w:rPr>
            </w:pPr>
            <w:r w:rsidRPr="007B5A0A">
              <w:rPr>
                <w:b/>
                <w:sz w:val="18"/>
                <w:szCs w:val="18"/>
              </w:rPr>
              <w:t>Underkategori</w:t>
            </w:r>
          </w:p>
        </w:tc>
        <w:tc>
          <w:tcPr>
            <w:tcW w:w="4695" w:type="dxa"/>
            <w:tcBorders>
              <w:bottom w:val="single" w:sz="12" w:space="0" w:color="auto"/>
              <w:right w:val="single" w:sz="12" w:space="0" w:color="auto"/>
            </w:tcBorders>
            <w:shd w:val="clear" w:color="auto" w:fill="F2F2F2" w:themeFill="background1" w:themeFillShade="F2"/>
            <w:vAlign w:val="center"/>
          </w:tcPr>
          <w:p w14:paraId="2F56511B" w14:textId="00671C11" w:rsidR="0040743C" w:rsidRPr="007B5A0A" w:rsidRDefault="0040743C" w:rsidP="0040743C">
            <w:pPr>
              <w:spacing w:after="160" w:line="259" w:lineRule="auto"/>
              <w:rPr>
                <w:b/>
                <w:sz w:val="18"/>
                <w:szCs w:val="18"/>
              </w:rPr>
            </w:pPr>
            <w:r w:rsidRPr="007B5A0A">
              <w:rPr>
                <w:b/>
                <w:sz w:val="18"/>
                <w:szCs w:val="18"/>
              </w:rPr>
              <w:t>Symptomer</w:t>
            </w:r>
          </w:p>
        </w:tc>
      </w:tr>
      <w:tr w:rsidR="0040743C" w:rsidRPr="007B5A0A" w14:paraId="4EBBF938" w14:textId="77777777" w:rsidTr="00797E98">
        <w:tc>
          <w:tcPr>
            <w:tcW w:w="817" w:type="dxa"/>
            <w:tcBorders>
              <w:top w:val="single" w:sz="12" w:space="0" w:color="auto"/>
              <w:left w:val="single" w:sz="12" w:space="0" w:color="auto"/>
            </w:tcBorders>
          </w:tcPr>
          <w:p w14:paraId="45C27D03" w14:textId="77777777" w:rsidR="0040743C" w:rsidRPr="007B5A0A" w:rsidRDefault="0040743C" w:rsidP="0040743C">
            <w:pPr>
              <w:spacing w:after="160" w:line="259" w:lineRule="auto"/>
              <w:rPr>
                <w:sz w:val="18"/>
                <w:szCs w:val="18"/>
              </w:rPr>
            </w:pPr>
          </w:p>
        </w:tc>
        <w:tc>
          <w:tcPr>
            <w:tcW w:w="1709" w:type="dxa"/>
            <w:tcBorders>
              <w:top w:val="single" w:sz="12" w:space="0" w:color="auto"/>
            </w:tcBorders>
          </w:tcPr>
          <w:p w14:paraId="066A0739" w14:textId="77777777" w:rsidR="0040743C" w:rsidRPr="007B5A0A" w:rsidRDefault="0040743C" w:rsidP="0040743C">
            <w:pPr>
              <w:spacing w:after="160" w:line="259" w:lineRule="auto"/>
              <w:rPr>
                <w:sz w:val="18"/>
                <w:szCs w:val="18"/>
              </w:rPr>
            </w:pPr>
            <w:proofErr w:type="spellStart"/>
            <w:r w:rsidRPr="007B5A0A">
              <w:rPr>
                <w:sz w:val="18"/>
                <w:szCs w:val="18"/>
              </w:rPr>
              <w:t>Karskade</w:t>
            </w:r>
            <w:proofErr w:type="spellEnd"/>
          </w:p>
        </w:tc>
        <w:tc>
          <w:tcPr>
            <w:tcW w:w="2262" w:type="dxa"/>
            <w:tcBorders>
              <w:top w:val="single" w:sz="12" w:space="0" w:color="auto"/>
            </w:tcBorders>
          </w:tcPr>
          <w:p w14:paraId="2CA3D745" w14:textId="77777777" w:rsidR="0040743C" w:rsidRPr="007B5A0A" w:rsidRDefault="0040743C" w:rsidP="0040743C">
            <w:pPr>
              <w:spacing w:after="160" w:line="259" w:lineRule="auto"/>
              <w:rPr>
                <w:sz w:val="18"/>
                <w:szCs w:val="18"/>
              </w:rPr>
            </w:pPr>
          </w:p>
        </w:tc>
        <w:tc>
          <w:tcPr>
            <w:tcW w:w="4695" w:type="dxa"/>
            <w:tcBorders>
              <w:top w:val="single" w:sz="12" w:space="0" w:color="auto"/>
              <w:right w:val="single" w:sz="12" w:space="0" w:color="auto"/>
            </w:tcBorders>
          </w:tcPr>
          <w:p w14:paraId="2486496F" w14:textId="77777777" w:rsidR="0040743C" w:rsidRPr="007B5A0A" w:rsidRDefault="0040743C" w:rsidP="0040743C">
            <w:pPr>
              <w:spacing w:after="160" w:line="259" w:lineRule="auto"/>
              <w:rPr>
                <w:sz w:val="18"/>
                <w:szCs w:val="18"/>
              </w:rPr>
            </w:pPr>
          </w:p>
        </w:tc>
      </w:tr>
      <w:tr w:rsidR="0040743C" w:rsidRPr="007B5A0A" w14:paraId="64344BC9" w14:textId="77777777" w:rsidTr="00797E98">
        <w:tc>
          <w:tcPr>
            <w:tcW w:w="817" w:type="dxa"/>
            <w:tcBorders>
              <w:left w:val="single" w:sz="12" w:space="0" w:color="auto"/>
            </w:tcBorders>
          </w:tcPr>
          <w:p w14:paraId="1C54C7A4" w14:textId="77777777" w:rsidR="0040743C" w:rsidRPr="007B5A0A" w:rsidRDefault="0040743C" w:rsidP="0040743C">
            <w:pPr>
              <w:spacing w:after="160" w:line="259" w:lineRule="auto"/>
              <w:rPr>
                <w:sz w:val="18"/>
                <w:szCs w:val="18"/>
              </w:rPr>
            </w:pPr>
            <w:r w:rsidRPr="007B5A0A">
              <w:rPr>
                <w:sz w:val="18"/>
                <w:szCs w:val="18"/>
              </w:rPr>
              <w:t>A</w:t>
            </w:r>
          </w:p>
          <w:p w14:paraId="7B7BA070" w14:textId="77777777" w:rsidR="0040743C" w:rsidRPr="007B5A0A" w:rsidRDefault="0040743C" w:rsidP="0040743C">
            <w:pPr>
              <w:spacing w:after="160" w:line="259" w:lineRule="auto"/>
              <w:rPr>
                <w:sz w:val="18"/>
                <w:szCs w:val="18"/>
              </w:rPr>
            </w:pPr>
          </w:p>
        </w:tc>
        <w:tc>
          <w:tcPr>
            <w:tcW w:w="1709" w:type="dxa"/>
          </w:tcPr>
          <w:p w14:paraId="77EFFB05" w14:textId="77777777" w:rsidR="0040743C" w:rsidRPr="007B5A0A" w:rsidRDefault="0040743C" w:rsidP="0040743C">
            <w:pPr>
              <w:spacing w:after="160" w:line="259" w:lineRule="auto"/>
              <w:rPr>
                <w:sz w:val="18"/>
                <w:szCs w:val="18"/>
              </w:rPr>
            </w:pPr>
          </w:p>
        </w:tc>
        <w:tc>
          <w:tcPr>
            <w:tcW w:w="2262" w:type="dxa"/>
          </w:tcPr>
          <w:p w14:paraId="4C7DEC8C" w14:textId="77777777" w:rsidR="0040743C" w:rsidRPr="007B5A0A" w:rsidRDefault="0040743C" w:rsidP="0040743C">
            <w:pPr>
              <w:spacing w:after="160" w:line="259" w:lineRule="auto"/>
              <w:rPr>
                <w:sz w:val="18"/>
                <w:szCs w:val="18"/>
              </w:rPr>
            </w:pPr>
            <w:proofErr w:type="spellStart"/>
            <w:r w:rsidRPr="007B5A0A">
              <w:rPr>
                <w:sz w:val="18"/>
                <w:szCs w:val="18"/>
              </w:rPr>
              <w:t>Hæmatom</w:t>
            </w:r>
            <w:proofErr w:type="spellEnd"/>
            <w:r w:rsidRPr="007B5A0A">
              <w:rPr>
                <w:sz w:val="18"/>
                <w:szCs w:val="18"/>
              </w:rPr>
              <w:t xml:space="preserve"> (blodansamling)</w:t>
            </w:r>
          </w:p>
        </w:tc>
        <w:tc>
          <w:tcPr>
            <w:tcW w:w="4695" w:type="dxa"/>
            <w:tcBorders>
              <w:right w:val="single" w:sz="12" w:space="0" w:color="auto"/>
            </w:tcBorders>
          </w:tcPr>
          <w:p w14:paraId="15E888E9" w14:textId="77777777" w:rsidR="0040743C" w:rsidRPr="007B5A0A" w:rsidRDefault="0040743C" w:rsidP="0040743C">
            <w:pPr>
              <w:spacing w:after="160" w:line="259" w:lineRule="auto"/>
              <w:rPr>
                <w:sz w:val="18"/>
                <w:szCs w:val="18"/>
              </w:rPr>
            </w:pPr>
            <w:r w:rsidRPr="007B5A0A">
              <w:rPr>
                <w:sz w:val="18"/>
                <w:szCs w:val="18"/>
              </w:rPr>
              <w:t xml:space="preserve">Lokal smerte </w:t>
            </w:r>
            <w:r w:rsidRPr="007B5A0A">
              <w:rPr>
                <w:b/>
                <w:i/>
                <w:sz w:val="18"/>
                <w:szCs w:val="18"/>
              </w:rPr>
              <w:t>og</w:t>
            </w:r>
            <w:r w:rsidRPr="007B5A0A">
              <w:rPr>
                <w:sz w:val="18"/>
                <w:szCs w:val="18"/>
              </w:rPr>
              <w:t xml:space="preserve"> misfarvning </w:t>
            </w:r>
            <w:r w:rsidRPr="007B5A0A">
              <w:rPr>
                <w:b/>
                <w:i/>
                <w:sz w:val="18"/>
                <w:szCs w:val="18"/>
              </w:rPr>
              <w:t>og/eller</w:t>
            </w:r>
            <w:r w:rsidRPr="007B5A0A">
              <w:rPr>
                <w:sz w:val="18"/>
                <w:szCs w:val="18"/>
              </w:rPr>
              <w:t xml:space="preserve"> mærkbar bule (hævelse) </w:t>
            </w:r>
          </w:p>
          <w:p w14:paraId="14D90227" w14:textId="77777777" w:rsidR="0040743C" w:rsidRPr="007B5A0A" w:rsidRDefault="0040743C" w:rsidP="0040743C">
            <w:pPr>
              <w:spacing w:after="160" w:line="259" w:lineRule="auto"/>
              <w:rPr>
                <w:b/>
                <w:bCs/>
                <w:sz w:val="18"/>
                <w:szCs w:val="18"/>
              </w:rPr>
            </w:pPr>
            <w:r w:rsidRPr="007B5A0A">
              <w:rPr>
                <w:b/>
                <w:bCs/>
                <w:sz w:val="18"/>
                <w:szCs w:val="18"/>
              </w:rPr>
              <w:t>Skal registreres såfremt der er lokal smerte samtidig med misfarvning og/eller hævelse</w:t>
            </w:r>
          </w:p>
        </w:tc>
      </w:tr>
      <w:tr w:rsidR="0040743C" w:rsidRPr="007B5A0A" w14:paraId="04E27207" w14:textId="77777777" w:rsidTr="00797E98">
        <w:tc>
          <w:tcPr>
            <w:tcW w:w="817" w:type="dxa"/>
            <w:tcBorders>
              <w:left w:val="single" w:sz="12" w:space="0" w:color="auto"/>
            </w:tcBorders>
          </w:tcPr>
          <w:p w14:paraId="454C5202" w14:textId="77777777" w:rsidR="0040743C" w:rsidRPr="007B5A0A" w:rsidRDefault="0040743C" w:rsidP="0040743C">
            <w:pPr>
              <w:spacing w:after="160" w:line="259" w:lineRule="auto"/>
              <w:rPr>
                <w:sz w:val="18"/>
                <w:szCs w:val="18"/>
              </w:rPr>
            </w:pPr>
            <w:r w:rsidRPr="007B5A0A">
              <w:rPr>
                <w:sz w:val="18"/>
                <w:szCs w:val="18"/>
              </w:rPr>
              <w:t>B</w:t>
            </w:r>
          </w:p>
        </w:tc>
        <w:tc>
          <w:tcPr>
            <w:tcW w:w="1709" w:type="dxa"/>
          </w:tcPr>
          <w:p w14:paraId="530C3073" w14:textId="77777777" w:rsidR="0040743C" w:rsidRPr="007B5A0A" w:rsidRDefault="0040743C" w:rsidP="0040743C">
            <w:pPr>
              <w:spacing w:after="160" w:line="259" w:lineRule="auto"/>
              <w:rPr>
                <w:sz w:val="18"/>
                <w:szCs w:val="18"/>
              </w:rPr>
            </w:pPr>
          </w:p>
        </w:tc>
        <w:tc>
          <w:tcPr>
            <w:tcW w:w="2262" w:type="dxa"/>
          </w:tcPr>
          <w:p w14:paraId="15AB89AA" w14:textId="77777777" w:rsidR="0040743C" w:rsidRPr="007B5A0A" w:rsidRDefault="0040743C" w:rsidP="0040743C">
            <w:pPr>
              <w:spacing w:after="160" w:line="259" w:lineRule="auto"/>
              <w:rPr>
                <w:sz w:val="18"/>
                <w:szCs w:val="18"/>
              </w:rPr>
            </w:pPr>
            <w:r w:rsidRPr="007B5A0A">
              <w:rPr>
                <w:sz w:val="18"/>
                <w:szCs w:val="18"/>
              </w:rPr>
              <w:t>Arteriepunktur</w:t>
            </w:r>
          </w:p>
        </w:tc>
        <w:tc>
          <w:tcPr>
            <w:tcW w:w="4695" w:type="dxa"/>
            <w:tcBorders>
              <w:right w:val="single" w:sz="12" w:space="0" w:color="auto"/>
            </w:tcBorders>
          </w:tcPr>
          <w:p w14:paraId="70CD0916" w14:textId="77777777" w:rsidR="0040743C" w:rsidRPr="007B5A0A" w:rsidRDefault="0040743C" w:rsidP="0040743C">
            <w:pPr>
              <w:spacing w:after="160" w:line="259" w:lineRule="auto"/>
              <w:rPr>
                <w:sz w:val="18"/>
                <w:szCs w:val="18"/>
              </w:rPr>
            </w:pPr>
            <w:r w:rsidRPr="007B5A0A">
              <w:rPr>
                <w:sz w:val="18"/>
                <w:szCs w:val="18"/>
              </w:rPr>
              <w:t>Hurtig tapning, lystfarvet blod, pulserende nål, lokal smerte.</w:t>
            </w:r>
          </w:p>
        </w:tc>
      </w:tr>
      <w:tr w:rsidR="0040743C" w:rsidRPr="007B5A0A" w14:paraId="28415AA1" w14:textId="77777777" w:rsidTr="00797E98">
        <w:trPr>
          <w:trHeight w:val="1504"/>
        </w:trPr>
        <w:tc>
          <w:tcPr>
            <w:tcW w:w="817" w:type="dxa"/>
            <w:tcBorders>
              <w:left w:val="single" w:sz="12" w:space="0" w:color="auto"/>
            </w:tcBorders>
          </w:tcPr>
          <w:p w14:paraId="7E3D32B5" w14:textId="77777777" w:rsidR="0040743C" w:rsidRPr="007B5A0A" w:rsidRDefault="0040743C" w:rsidP="0040743C">
            <w:pPr>
              <w:spacing w:after="160" w:line="259" w:lineRule="auto"/>
              <w:rPr>
                <w:sz w:val="18"/>
                <w:szCs w:val="18"/>
              </w:rPr>
            </w:pPr>
            <w:r w:rsidRPr="007B5A0A">
              <w:rPr>
                <w:sz w:val="18"/>
                <w:szCs w:val="18"/>
              </w:rPr>
              <w:t>C</w:t>
            </w:r>
          </w:p>
          <w:p w14:paraId="0CCF447D" w14:textId="77777777" w:rsidR="0040743C" w:rsidRPr="007B5A0A" w:rsidRDefault="0040743C" w:rsidP="0040743C">
            <w:pPr>
              <w:spacing w:after="160" w:line="259" w:lineRule="auto"/>
              <w:rPr>
                <w:sz w:val="18"/>
                <w:szCs w:val="18"/>
              </w:rPr>
            </w:pPr>
          </w:p>
        </w:tc>
        <w:tc>
          <w:tcPr>
            <w:tcW w:w="1709" w:type="dxa"/>
          </w:tcPr>
          <w:p w14:paraId="64BA0A5D" w14:textId="77777777" w:rsidR="0040743C" w:rsidRPr="007B5A0A" w:rsidRDefault="0040743C" w:rsidP="0040743C">
            <w:pPr>
              <w:spacing w:after="160" w:line="259" w:lineRule="auto"/>
              <w:rPr>
                <w:sz w:val="18"/>
                <w:szCs w:val="18"/>
              </w:rPr>
            </w:pPr>
          </w:p>
        </w:tc>
        <w:tc>
          <w:tcPr>
            <w:tcW w:w="2262" w:type="dxa"/>
          </w:tcPr>
          <w:p w14:paraId="502C7943" w14:textId="77777777" w:rsidR="0040743C" w:rsidRPr="007B5A0A" w:rsidRDefault="0040743C" w:rsidP="0040743C">
            <w:pPr>
              <w:spacing w:after="160" w:line="259" w:lineRule="auto"/>
              <w:rPr>
                <w:sz w:val="18"/>
                <w:szCs w:val="18"/>
              </w:rPr>
            </w:pPr>
            <w:r w:rsidRPr="007B5A0A">
              <w:rPr>
                <w:sz w:val="18"/>
                <w:szCs w:val="18"/>
              </w:rPr>
              <w:t>Forsinket blødning</w:t>
            </w:r>
          </w:p>
        </w:tc>
        <w:tc>
          <w:tcPr>
            <w:tcW w:w="4695" w:type="dxa"/>
            <w:tcBorders>
              <w:right w:val="single" w:sz="12" w:space="0" w:color="auto"/>
            </w:tcBorders>
          </w:tcPr>
          <w:p w14:paraId="5534D342" w14:textId="77777777" w:rsidR="0040743C" w:rsidRPr="007B5A0A" w:rsidRDefault="0040743C" w:rsidP="0040743C">
            <w:pPr>
              <w:spacing w:after="160" w:line="259" w:lineRule="auto"/>
              <w:rPr>
                <w:sz w:val="18"/>
                <w:szCs w:val="18"/>
              </w:rPr>
            </w:pPr>
            <w:r w:rsidRPr="007B5A0A">
              <w:rPr>
                <w:sz w:val="18"/>
                <w:szCs w:val="18"/>
              </w:rPr>
              <w:t xml:space="preserve">Blødning fra indstikssteder efter at donor har forladt tappelejet/blodbanken. Er ikke et </w:t>
            </w:r>
            <w:proofErr w:type="spellStart"/>
            <w:r w:rsidRPr="007B5A0A">
              <w:rPr>
                <w:sz w:val="18"/>
                <w:szCs w:val="18"/>
              </w:rPr>
              <w:t>hæmatom</w:t>
            </w:r>
            <w:proofErr w:type="spellEnd"/>
          </w:p>
          <w:p w14:paraId="66997599" w14:textId="77777777" w:rsidR="0040743C" w:rsidRPr="007B5A0A" w:rsidRDefault="0040743C" w:rsidP="0040743C">
            <w:pPr>
              <w:spacing w:after="160" w:line="259" w:lineRule="auto"/>
              <w:rPr>
                <w:b/>
                <w:bCs/>
                <w:sz w:val="18"/>
                <w:szCs w:val="18"/>
              </w:rPr>
            </w:pPr>
            <w:r w:rsidRPr="007B5A0A">
              <w:rPr>
                <w:b/>
                <w:bCs/>
                <w:sz w:val="18"/>
                <w:szCs w:val="18"/>
              </w:rPr>
              <w:t>Skal registreres såfremt blødning nødvendiggør skift af forbinding eller donor som postdonationsinformation oplyser om blødning efterfølgende</w:t>
            </w:r>
          </w:p>
        </w:tc>
      </w:tr>
      <w:tr w:rsidR="0040743C" w:rsidRPr="007B5A0A" w14:paraId="6949AEC8" w14:textId="77777777" w:rsidTr="00797E98">
        <w:tc>
          <w:tcPr>
            <w:tcW w:w="817" w:type="dxa"/>
            <w:tcBorders>
              <w:left w:val="single" w:sz="12" w:space="0" w:color="auto"/>
            </w:tcBorders>
          </w:tcPr>
          <w:p w14:paraId="6E3EA97A" w14:textId="77777777" w:rsidR="0040743C" w:rsidRPr="007B5A0A" w:rsidRDefault="0040743C" w:rsidP="0040743C">
            <w:pPr>
              <w:spacing w:after="160" w:line="259" w:lineRule="auto"/>
              <w:rPr>
                <w:sz w:val="18"/>
                <w:szCs w:val="18"/>
              </w:rPr>
            </w:pPr>
            <w:r w:rsidRPr="007B5A0A">
              <w:rPr>
                <w:sz w:val="18"/>
                <w:szCs w:val="18"/>
              </w:rPr>
              <w:t>D</w:t>
            </w:r>
          </w:p>
          <w:p w14:paraId="74F8A919" w14:textId="77777777" w:rsidR="0040743C" w:rsidRPr="007B5A0A" w:rsidRDefault="0040743C" w:rsidP="0040743C">
            <w:pPr>
              <w:spacing w:after="160" w:line="259" w:lineRule="auto"/>
              <w:rPr>
                <w:sz w:val="18"/>
                <w:szCs w:val="18"/>
              </w:rPr>
            </w:pPr>
          </w:p>
        </w:tc>
        <w:tc>
          <w:tcPr>
            <w:tcW w:w="1709" w:type="dxa"/>
          </w:tcPr>
          <w:p w14:paraId="6FF0519C" w14:textId="77777777" w:rsidR="0040743C" w:rsidRPr="007B5A0A" w:rsidRDefault="0040743C" w:rsidP="0040743C">
            <w:pPr>
              <w:spacing w:after="160" w:line="259" w:lineRule="auto"/>
              <w:rPr>
                <w:sz w:val="18"/>
                <w:szCs w:val="18"/>
              </w:rPr>
            </w:pPr>
          </w:p>
        </w:tc>
        <w:tc>
          <w:tcPr>
            <w:tcW w:w="2262" w:type="dxa"/>
          </w:tcPr>
          <w:p w14:paraId="7177B320" w14:textId="77777777" w:rsidR="0040743C" w:rsidRPr="007B5A0A" w:rsidRDefault="0040743C" w:rsidP="0040743C">
            <w:pPr>
              <w:spacing w:after="160" w:line="259" w:lineRule="auto"/>
              <w:rPr>
                <w:sz w:val="18"/>
                <w:szCs w:val="18"/>
              </w:rPr>
            </w:pPr>
            <w:proofErr w:type="spellStart"/>
            <w:r w:rsidRPr="007B5A0A">
              <w:rPr>
                <w:sz w:val="18"/>
                <w:szCs w:val="18"/>
              </w:rPr>
              <w:t>Tromboflebitis</w:t>
            </w:r>
            <w:proofErr w:type="spellEnd"/>
          </w:p>
          <w:p w14:paraId="181FC14C" w14:textId="77777777" w:rsidR="0040743C" w:rsidRPr="007B5A0A" w:rsidRDefault="0040743C" w:rsidP="0040743C">
            <w:pPr>
              <w:spacing w:after="160" w:line="259" w:lineRule="auto"/>
              <w:rPr>
                <w:sz w:val="18"/>
                <w:szCs w:val="18"/>
              </w:rPr>
            </w:pPr>
            <w:r w:rsidRPr="007B5A0A">
              <w:rPr>
                <w:sz w:val="18"/>
                <w:szCs w:val="18"/>
              </w:rPr>
              <w:t>(årebetændelse)</w:t>
            </w:r>
          </w:p>
        </w:tc>
        <w:tc>
          <w:tcPr>
            <w:tcW w:w="4695" w:type="dxa"/>
            <w:tcBorders>
              <w:right w:val="single" w:sz="12" w:space="0" w:color="auto"/>
            </w:tcBorders>
          </w:tcPr>
          <w:p w14:paraId="15473F07" w14:textId="77777777" w:rsidR="0040743C" w:rsidRPr="007B5A0A" w:rsidRDefault="0040743C" w:rsidP="0040743C">
            <w:pPr>
              <w:spacing w:after="160" w:line="259" w:lineRule="auto"/>
              <w:rPr>
                <w:sz w:val="18"/>
                <w:szCs w:val="18"/>
              </w:rPr>
            </w:pPr>
            <w:r w:rsidRPr="007B5A0A">
              <w:rPr>
                <w:sz w:val="18"/>
                <w:szCs w:val="18"/>
              </w:rPr>
              <w:t>Kræver et eller flere af følgende symptomer langs venen: rødme, varme, ømhed.</w:t>
            </w:r>
          </w:p>
        </w:tc>
      </w:tr>
      <w:tr w:rsidR="0040743C" w:rsidRPr="007B5A0A" w14:paraId="7F9C70E6" w14:textId="77777777" w:rsidTr="00797E98">
        <w:tc>
          <w:tcPr>
            <w:tcW w:w="817" w:type="dxa"/>
            <w:tcBorders>
              <w:left w:val="single" w:sz="12" w:space="0" w:color="auto"/>
            </w:tcBorders>
          </w:tcPr>
          <w:p w14:paraId="38EA2DA2" w14:textId="702919E5" w:rsidR="0040743C" w:rsidRPr="007B5A0A" w:rsidRDefault="0040743C" w:rsidP="0040743C">
            <w:pPr>
              <w:spacing w:after="160" w:line="259" w:lineRule="auto"/>
              <w:rPr>
                <w:sz w:val="18"/>
                <w:szCs w:val="18"/>
              </w:rPr>
            </w:pPr>
            <w:r w:rsidRPr="007B5A0A">
              <w:rPr>
                <w:sz w:val="18"/>
                <w:szCs w:val="18"/>
              </w:rPr>
              <w:t>E</w:t>
            </w:r>
          </w:p>
        </w:tc>
        <w:tc>
          <w:tcPr>
            <w:tcW w:w="1709" w:type="dxa"/>
          </w:tcPr>
          <w:p w14:paraId="21CD7DB7" w14:textId="77777777" w:rsidR="0040743C" w:rsidRPr="007B5A0A" w:rsidRDefault="0040743C" w:rsidP="0040743C">
            <w:pPr>
              <w:spacing w:after="160" w:line="259" w:lineRule="auto"/>
              <w:rPr>
                <w:sz w:val="18"/>
                <w:szCs w:val="18"/>
              </w:rPr>
            </w:pPr>
          </w:p>
        </w:tc>
        <w:tc>
          <w:tcPr>
            <w:tcW w:w="2262" w:type="dxa"/>
          </w:tcPr>
          <w:p w14:paraId="71CADBFB" w14:textId="7EA08C08" w:rsidR="0040743C" w:rsidRPr="007B5A0A" w:rsidRDefault="0040743C" w:rsidP="0040743C">
            <w:pPr>
              <w:spacing w:after="160" w:line="259" w:lineRule="auto"/>
              <w:rPr>
                <w:sz w:val="18"/>
                <w:szCs w:val="18"/>
              </w:rPr>
            </w:pPr>
            <w:r w:rsidRPr="007B5A0A">
              <w:rPr>
                <w:sz w:val="18"/>
                <w:szCs w:val="18"/>
              </w:rPr>
              <w:t>Dyb venetrombose</w:t>
            </w:r>
            <w:r>
              <w:rPr>
                <w:sz w:val="18"/>
                <w:szCs w:val="18"/>
              </w:rPr>
              <w:t xml:space="preserve"> </w:t>
            </w:r>
            <w:r w:rsidRPr="007B5A0A">
              <w:rPr>
                <w:sz w:val="18"/>
                <w:szCs w:val="18"/>
              </w:rPr>
              <w:t>(blodprop i dyb vene)</w:t>
            </w:r>
          </w:p>
        </w:tc>
        <w:tc>
          <w:tcPr>
            <w:tcW w:w="4695" w:type="dxa"/>
            <w:tcBorders>
              <w:right w:val="single" w:sz="12" w:space="0" w:color="auto"/>
            </w:tcBorders>
          </w:tcPr>
          <w:p w14:paraId="0E6624BF" w14:textId="77777777" w:rsidR="0040743C" w:rsidRPr="007B5A0A" w:rsidRDefault="0040743C" w:rsidP="0040743C">
            <w:pPr>
              <w:spacing w:after="160" w:line="259" w:lineRule="auto"/>
              <w:rPr>
                <w:sz w:val="18"/>
                <w:szCs w:val="18"/>
              </w:rPr>
            </w:pPr>
            <w:r w:rsidRPr="007B5A0A">
              <w:rPr>
                <w:sz w:val="18"/>
                <w:szCs w:val="18"/>
              </w:rPr>
              <w:t>Voldsom hævelse og smerte af overarmen, evt. varme og rødme.</w:t>
            </w:r>
          </w:p>
        </w:tc>
      </w:tr>
      <w:tr w:rsidR="0040743C" w:rsidRPr="007B5A0A" w14:paraId="3337543B" w14:textId="77777777" w:rsidTr="00797E98">
        <w:tc>
          <w:tcPr>
            <w:tcW w:w="817" w:type="dxa"/>
            <w:tcBorders>
              <w:left w:val="single" w:sz="12" w:space="0" w:color="auto"/>
            </w:tcBorders>
          </w:tcPr>
          <w:p w14:paraId="4850E6BE" w14:textId="1D159F7A" w:rsidR="0040743C" w:rsidRPr="007B5A0A" w:rsidRDefault="0040743C" w:rsidP="0040743C">
            <w:pPr>
              <w:spacing w:after="160" w:line="259" w:lineRule="auto"/>
              <w:rPr>
                <w:sz w:val="18"/>
                <w:szCs w:val="18"/>
              </w:rPr>
            </w:pPr>
            <w:r w:rsidRPr="007B5A0A">
              <w:rPr>
                <w:sz w:val="18"/>
                <w:szCs w:val="18"/>
              </w:rPr>
              <w:t>F</w:t>
            </w:r>
          </w:p>
        </w:tc>
        <w:tc>
          <w:tcPr>
            <w:tcW w:w="1709" w:type="dxa"/>
          </w:tcPr>
          <w:p w14:paraId="36B7EF92" w14:textId="77777777" w:rsidR="0040743C" w:rsidRPr="007B5A0A" w:rsidRDefault="0040743C" w:rsidP="0040743C">
            <w:pPr>
              <w:spacing w:after="160" w:line="259" w:lineRule="auto"/>
              <w:rPr>
                <w:sz w:val="18"/>
                <w:szCs w:val="18"/>
              </w:rPr>
            </w:pPr>
          </w:p>
        </w:tc>
        <w:tc>
          <w:tcPr>
            <w:tcW w:w="2262" w:type="dxa"/>
          </w:tcPr>
          <w:p w14:paraId="496E8111" w14:textId="77777777" w:rsidR="0040743C" w:rsidRPr="007B5A0A" w:rsidRDefault="0040743C" w:rsidP="0040743C">
            <w:pPr>
              <w:spacing w:after="160" w:line="259" w:lineRule="auto"/>
              <w:rPr>
                <w:sz w:val="18"/>
                <w:szCs w:val="18"/>
              </w:rPr>
            </w:pPr>
            <w:proofErr w:type="spellStart"/>
            <w:r w:rsidRPr="007B5A0A">
              <w:rPr>
                <w:sz w:val="18"/>
                <w:szCs w:val="18"/>
              </w:rPr>
              <w:t>Kompartmentsyndrom</w:t>
            </w:r>
            <w:proofErr w:type="spellEnd"/>
          </w:p>
        </w:tc>
        <w:tc>
          <w:tcPr>
            <w:tcW w:w="4695" w:type="dxa"/>
            <w:tcBorders>
              <w:right w:val="single" w:sz="12" w:space="0" w:color="auto"/>
            </w:tcBorders>
          </w:tcPr>
          <w:p w14:paraId="2F5A3887" w14:textId="77777777" w:rsidR="0040743C" w:rsidRPr="007B5A0A" w:rsidRDefault="0040743C" w:rsidP="0040743C">
            <w:pPr>
              <w:spacing w:after="160" w:line="259" w:lineRule="auto"/>
              <w:rPr>
                <w:sz w:val="18"/>
                <w:szCs w:val="18"/>
              </w:rPr>
            </w:pPr>
            <w:r w:rsidRPr="007B5A0A">
              <w:rPr>
                <w:sz w:val="18"/>
                <w:szCs w:val="18"/>
              </w:rPr>
              <w:t>Voldsom smerte i armen især ved bevægelse, hård hævelse, ømhed, evt. føleforstyrrelser.</w:t>
            </w:r>
          </w:p>
        </w:tc>
      </w:tr>
      <w:tr w:rsidR="0040743C" w:rsidRPr="007B5A0A" w14:paraId="30735793" w14:textId="77777777" w:rsidTr="00797E98">
        <w:tc>
          <w:tcPr>
            <w:tcW w:w="817" w:type="dxa"/>
            <w:tcBorders>
              <w:left w:val="single" w:sz="12" w:space="0" w:color="auto"/>
            </w:tcBorders>
          </w:tcPr>
          <w:p w14:paraId="6CA73652" w14:textId="77777777" w:rsidR="0040743C" w:rsidRPr="007B5A0A" w:rsidRDefault="0040743C" w:rsidP="0040743C">
            <w:pPr>
              <w:spacing w:after="160" w:line="259" w:lineRule="auto"/>
              <w:rPr>
                <w:sz w:val="18"/>
                <w:szCs w:val="18"/>
              </w:rPr>
            </w:pPr>
            <w:r w:rsidRPr="007B5A0A">
              <w:rPr>
                <w:sz w:val="18"/>
                <w:szCs w:val="18"/>
              </w:rPr>
              <w:t>G</w:t>
            </w:r>
          </w:p>
        </w:tc>
        <w:tc>
          <w:tcPr>
            <w:tcW w:w="1709" w:type="dxa"/>
          </w:tcPr>
          <w:p w14:paraId="3C85D94E" w14:textId="77777777" w:rsidR="0040743C" w:rsidRPr="007B5A0A" w:rsidRDefault="0040743C" w:rsidP="0040743C">
            <w:pPr>
              <w:spacing w:after="160" w:line="259" w:lineRule="auto"/>
              <w:rPr>
                <w:sz w:val="18"/>
                <w:szCs w:val="18"/>
              </w:rPr>
            </w:pPr>
          </w:p>
        </w:tc>
        <w:tc>
          <w:tcPr>
            <w:tcW w:w="2262" w:type="dxa"/>
          </w:tcPr>
          <w:p w14:paraId="75EE58CE" w14:textId="77777777" w:rsidR="0040743C" w:rsidRPr="007B5A0A" w:rsidRDefault="0040743C" w:rsidP="0040743C">
            <w:pPr>
              <w:spacing w:after="160" w:line="259" w:lineRule="auto"/>
              <w:rPr>
                <w:sz w:val="18"/>
                <w:szCs w:val="18"/>
              </w:rPr>
            </w:pPr>
            <w:proofErr w:type="spellStart"/>
            <w:r w:rsidRPr="007B5A0A">
              <w:rPr>
                <w:sz w:val="18"/>
                <w:szCs w:val="18"/>
              </w:rPr>
              <w:t>Pseudoaneurisme</w:t>
            </w:r>
            <w:proofErr w:type="spellEnd"/>
          </w:p>
        </w:tc>
        <w:tc>
          <w:tcPr>
            <w:tcW w:w="4695" w:type="dxa"/>
            <w:tcBorders>
              <w:right w:val="single" w:sz="12" w:space="0" w:color="auto"/>
            </w:tcBorders>
          </w:tcPr>
          <w:p w14:paraId="53D1BE03" w14:textId="77777777" w:rsidR="0040743C" w:rsidRPr="007B5A0A" w:rsidRDefault="0040743C" w:rsidP="0040743C">
            <w:pPr>
              <w:spacing w:after="160" w:line="259" w:lineRule="auto"/>
              <w:rPr>
                <w:sz w:val="18"/>
                <w:szCs w:val="18"/>
              </w:rPr>
            </w:pPr>
            <w:r w:rsidRPr="007B5A0A">
              <w:rPr>
                <w:sz w:val="18"/>
                <w:szCs w:val="18"/>
              </w:rPr>
              <w:t>Pulserende udfyldning i armen, evt. smerte og føleforstyrrelser.</w:t>
            </w:r>
          </w:p>
        </w:tc>
      </w:tr>
      <w:tr w:rsidR="0040743C" w:rsidRPr="007B5A0A" w14:paraId="41C86392" w14:textId="77777777" w:rsidTr="00797E98">
        <w:tc>
          <w:tcPr>
            <w:tcW w:w="817" w:type="dxa"/>
            <w:tcBorders>
              <w:left w:val="single" w:sz="12" w:space="0" w:color="auto"/>
              <w:bottom w:val="single" w:sz="12" w:space="0" w:color="auto"/>
            </w:tcBorders>
          </w:tcPr>
          <w:p w14:paraId="3F3A04F6" w14:textId="7D756A07" w:rsidR="0040743C" w:rsidRPr="007B5A0A" w:rsidRDefault="0040743C" w:rsidP="0040743C">
            <w:pPr>
              <w:spacing w:after="160" w:line="259" w:lineRule="auto"/>
              <w:rPr>
                <w:sz w:val="18"/>
                <w:szCs w:val="18"/>
              </w:rPr>
            </w:pPr>
            <w:r w:rsidRPr="007B5A0A">
              <w:rPr>
                <w:sz w:val="18"/>
                <w:szCs w:val="18"/>
              </w:rPr>
              <w:t>H</w:t>
            </w:r>
          </w:p>
        </w:tc>
        <w:tc>
          <w:tcPr>
            <w:tcW w:w="1709" w:type="dxa"/>
            <w:tcBorders>
              <w:bottom w:val="single" w:sz="12" w:space="0" w:color="auto"/>
            </w:tcBorders>
          </w:tcPr>
          <w:p w14:paraId="548CEDE1" w14:textId="77777777" w:rsidR="0040743C" w:rsidRPr="007B5A0A" w:rsidRDefault="0040743C" w:rsidP="0040743C">
            <w:pPr>
              <w:spacing w:after="160" w:line="259" w:lineRule="auto"/>
              <w:rPr>
                <w:sz w:val="18"/>
                <w:szCs w:val="18"/>
              </w:rPr>
            </w:pPr>
          </w:p>
        </w:tc>
        <w:tc>
          <w:tcPr>
            <w:tcW w:w="2262" w:type="dxa"/>
            <w:tcBorders>
              <w:bottom w:val="single" w:sz="12" w:space="0" w:color="auto"/>
            </w:tcBorders>
          </w:tcPr>
          <w:p w14:paraId="27240B11" w14:textId="1666B689" w:rsidR="0040743C" w:rsidRPr="007B5A0A" w:rsidRDefault="0040743C" w:rsidP="0040743C">
            <w:pPr>
              <w:spacing w:after="160" w:line="259" w:lineRule="auto"/>
              <w:rPr>
                <w:sz w:val="18"/>
                <w:szCs w:val="18"/>
              </w:rPr>
            </w:pPr>
            <w:r w:rsidRPr="007B5A0A">
              <w:rPr>
                <w:sz w:val="18"/>
                <w:szCs w:val="18"/>
              </w:rPr>
              <w:t>Arterievenøs fistel</w:t>
            </w:r>
          </w:p>
        </w:tc>
        <w:tc>
          <w:tcPr>
            <w:tcW w:w="4695" w:type="dxa"/>
            <w:tcBorders>
              <w:bottom w:val="single" w:sz="12" w:space="0" w:color="auto"/>
              <w:right w:val="single" w:sz="12" w:space="0" w:color="auto"/>
            </w:tcBorders>
          </w:tcPr>
          <w:p w14:paraId="2CC94E2A" w14:textId="77777777" w:rsidR="0040743C" w:rsidRPr="007B5A0A" w:rsidRDefault="0040743C" w:rsidP="0040743C">
            <w:pPr>
              <w:spacing w:after="160" w:line="259" w:lineRule="auto"/>
              <w:rPr>
                <w:sz w:val="18"/>
                <w:szCs w:val="18"/>
              </w:rPr>
            </w:pPr>
            <w:r w:rsidRPr="007B5A0A">
              <w:rPr>
                <w:sz w:val="18"/>
                <w:szCs w:val="18"/>
              </w:rPr>
              <w:t xml:space="preserve">Pulserende udfyldning i armen med mærkbar snurren ved </w:t>
            </w:r>
            <w:proofErr w:type="spellStart"/>
            <w:r w:rsidRPr="007B5A0A">
              <w:rPr>
                <w:sz w:val="18"/>
                <w:szCs w:val="18"/>
              </w:rPr>
              <w:t>palpation</w:t>
            </w:r>
            <w:proofErr w:type="spellEnd"/>
            <w:r w:rsidRPr="007B5A0A">
              <w:rPr>
                <w:sz w:val="18"/>
                <w:szCs w:val="18"/>
              </w:rPr>
              <w:t xml:space="preserve"> over fistlen</w:t>
            </w:r>
          </w:p>
        </w:tc>
      </w:tr>
      <w:tr w:rsidR="0040743C" w:rsidRPr="007B5A0A" w14:paraId="64F4AD2F" w14:textId="77777777" w:rsidTr="00797E98">
        <w:tc>
          <w:tcPr>
            <w:tcW w:w="817" w:type="dxa"/>
            <w:tcBorders>
              <w:top w:val="single" w:sz="12" w:space="0" w:color="auto"/>
              <w:left w:val="single" w:sz="12" w:space="0" w:color="auto"/>
            </w:tcBorders>
          </w:tcPr>
          <w:p w14:paraId="3FA0A85D" w14:textId="77777777" w:rsidR="0040743C" w:rsidRPr="007B5A0A" w:rsidRDefault="0040743C" w:rsidP="0040743C">
            <w:pPr>
              <w:spacing w:after="160" w:line="259" w:lineRule="auto"/>
              <w:rPr>
                <w:sz w:val="18"/>
                <w:szCs w:val="18"/>
              </w:rPr>
            </w:pPr>
          </w:p>
        </w:tc>
        <w:tc>
          <w:tcPr>
            <w:tcW w:w="1709" w:type="dxa"/>
            <w:tcBorders>
              <w:top w:val="single" w:sz="12" w:space="0" w:color="auto"/>
            </w:tcBorders>
          </w:tcPr>
          <w:p w14:paraId="5543CB6B" w14:textId="77777777" w:rsidR="0040743C" w:rsidRPr="007B5A0A" w:rsidRDefault="0040743C" w:rsidP="0040743C">
            <w:pPr>
              <w:spacing w:after="160" w:line="259" w:lineRule="auto"/>
              <w:rPr>
                <w:sz w:val="18"/>
                <w:szCs w:val="18"/>
              </w:rPr>
            </w:pPr>
            <w:r w:rsidRPr="007B5A0A">
              <w:rPr>
                <w:sz w:val="18"/>
                <w:szCs w:val="18"/>
              </w:rPr>
              <w:t>Smerter i arm</w:t>
            </w:r>
          </w:p>
        </w:tc>
        <w:tc>
          <w:tcPr>
            <w:tcW w:w="2262" w:type="dxa"/>
            <w:tcBorders>
              <w:top w:val="single" w:sz="12" w:space="0" w:color="auto"/>
            </w:tcBorders>
          </w:tcPr>
          <w:p w14:paraId="24DFB33F" w14:textId="77777777" w:rsidR="0040743C" w:rsidRPr="007B5A0A" w:rsidRDefault="0040743C" w:rsidP="0040743C">
            <w:pPr>
              <w:spacing w:after="160" w:line="259" w:lineRule="auto"/>
              <w:rPr>
                <w:sz w:val="18"/>
                <w:szCs w:val="18"/>
              </w:rPr>
            </w:pPr>
          </w:p>
        </w:tc>
        <w:tc>
          <w:tcPr>
            <w:tcW w:w="4695" w:type="dxa"/>
            <w:tcBorders>
              <w:top w:val="single" w:sz="12" w:space="0" w:color="auto"/>
              <w:right w:val="single" w:sz="12" w:space="0" w:color="auto"/>
            </w:tcBorders>
          </w:tcPr>
          <w:p w14:paraId="34EC3687" w14:textId="77777777" w:rsidR="0040743C" w:rsidRPr="007B5A0A" w:rsidRDefault="0040743C" w:rsidP="0040743C">
            <w:pPr>
              <w:spacing w:after="160" w:line="259" w:lineRule="auto"/>
              <w:rPr>
                <w:sz w:val="18"/>
                <w:szCs w:val="18"/>
              </w:rPr>
            </w:pPr>
          </w:p>
        </w:tc>
      </w:tr>
      <w:tr w:rsidR="0040743C" w:rsidRPr="007B5A0A" w14:paraId="13D40C57" w14:textId="77777777" w:rsidTr="00797E98">
        <w:tc>
          <w:tcPr>
            <w:tcW w:w="817" w:type="dxa"/>
            <w:tcBorders>
              <w:left w:val="single" w:sz="12" w:space="0" w:color="auto"/>
            </w:tcBorders>
          </w:tcPr>
          <w:p w14:paraId="19A4E39B" w14:textId="77777777" w:rsidR="0040743C" w:rsidRPr="007B5A0A" w:rsidRDefault="0040743C" w:rsidP="0040743C">
            <w:pPr>
              <w:spacing w:after="160" w:line="259" w:lineRule="auto"/>
              <w:rPr>
                <w:sz w:val="18"/>
                <w:szCs w:val="18"/>
              </w:rPr>
            </w:pPr>
            <w:r w:rsidRPr="007B5A0A">
              <w:rPr>
                <w:sz w:val="18"/>
                <w:szCs w:val="18"/>
              </w:rPr>
              <w:t>I</w:t>
            </w:r>
          </w:p>
          <w:p w14:paraId="65BC6AA0" w14:textId="77777777" w:rsidR="0040743C" w:rsidRPr="007B5A0A" w:rsidRDefault="0040743C" w:rsidP="0040743C">
            <w:pPr>
              <w:spacing w:after="160" w:line="259" w:lineRule="auto"/>
              <w:rPr>
                <w:sz w:val="18"/>
                <w:szCs w:val="18"/>
              </w:rPr>
            </w:pPr>
          </w:p>
        </w:tc>
        <w:tc>
          <w:tcPr>
            <w:tcW w:w="1709" w:type="dxa"/>
          </w:tcPr>
          <w:p w14:paraId="0593572A" w14:textId="77777777" w:rsidR="0040743C" w:rsidRPr="007B5A0A" w:rsidRDefault="0040743C" w:rsidP="0040743C">
            <w:pPr>
              <w:spacing w:after="160" w:line="259" w:lineRule="auto"/>
              <w:rPr>
                <w:sz w:val="18"/>
                <w:szCs w:val="18"/>
              </w:rPr>
            </w:pPr>
          </w:p>
        </w:tc>
        <w:tc>
          <w:tcPr>
            <w:tcW w:w="2262" w:type="dxa"/>
          </w:tcPr>
          <w:p w14:paraId="56511493" w14:textId="13F20FA9" w:rsidR="0040743C" w:rsidRPr="007B5A0A" w:rsidRDefault="0040743C" w:rsidP="0040743C">
            <w:pPr>
              <w:spacing w:after="160" w:line="259" w:lineRule="auto"/>
              <w:rPr>
                <w:sz w:val="18"/>
                <w:szCs w:val="18"/>
              </w:rPr>
            </w:pPr>
            <w:r w:rsidRPr="007B5A0A">
              <w:rPr>
                <w:sz w:val="18"/>
                <w:szCs w:val="18"/>
              </w:rPr>
              <w:t>Nerveirritation/</w:t>
            </w:r>
            <w:r>
              <w:rPr>
                <w:sz w:val="18"/>
                <w:szCs w:val="18"/>
              </w:rPr>
              <w:t>n</w:t>
            </w:r>
            <w:r w:rsidRPr="007B5A0A">
              <w:rPr>
                <w:sz w:val="18"/>
                <w:szCs w:val="18"/>
              </w:rPr>
              <w:t>erveskade (skyldes direkte nerveskade)</w:t>
            </w:r>
          </w:p>
        </w:tc>
        <w:tc>
          <w:tcPr>
            <w:tcW w:w="4695" w:type="dxa"/>
            <w:tcBorders>
              <w:right w:val="single" w:sz="12" w:space="0" w:color="auto"/>
            </w:tcBorders>
          </w:tcPr>
          <w:p w14:paraId="4B7CF51C" w14:textId="2B289522" w:rsidR="0040743C" w:rsidRPr="007B5A0A" w:rsidRDefault="0040743C" w:rsidP="0040743C">
            <w:pPr>
              <w:spacing w:after="160" w:line="259" w:lineRule="auto"/>
              <w:rPr>
                <w:sz w:val="18"/>
                <w:szCs w:val="18"/>
              </w:rPr>
            </w:pPr>
            <w:r w:rsidRPr="007B5A0A">
              <w:rPr>
                <w:sz w:val="18"/>
                <w:szCs w:val="18"/>
              </w:rPr>
              <w:t xml:space="preserve">Symptomer opstået </w:t>
            </w:r>
            <w:r w:rsidRPr="007B5A0A">
              <w:rPr>
                <w:b/>
                <w:i/>
                <w:sz w:val="18"/>
                <w:szCs w:val="18"/>
              </w:rPr>
              <w:t>samtidig med</w:t>
            </w:r>
            <w:r w:rsidRPr="007B5A0A">
              <w:rPr>
                <w:sz w:val="18"/>
                <w:szCs w:val="18"/>
              </w:rPr>
              <w:t xml:space="preserve"> indstik eller fjernelse af nål: Brændende/jagende/stikkende smerte, udstrålende smerte, føleforstyrrelse eller</w:t>
            </w:r>
            <w:r>
              <w:rPr>
                <w:sz w:val="18"/>
                <w:szCs w:val="18"/>
              </w:rPr>
              <w:t xml:space="preserve"> </w:t>
            </w:r>
            <w:r w:rsidRPr="007B5A0A">
              <w:rPr>
                <w:sz w:val="18"/>
                <w:szCs w:val="18"/>
              </w:rPr>
              <w:t>prikken/stikken i fingre/hånd og/eller arm. Symptomer kan evt. forværres ved brug af armen eller hvis armen holdes i bestemte positioner.</w:t>
            </w:r>
          </w:p>
        </w:tc>
      </w:tr>
      <w:tr w:rsidR="0040743C" w:rsidRPr="007B5A0A" w14:paraId="017BBF2A" w14:textId="77777777" w:rsidTr="00797E98">
        <w:tc>
          <w:tcPr>
            <w:tcW w:w="817" w:type="dxa"/>
            <w:tcBorders>
              <w:left w:val="single" w:sz="12" w:space="0" w:color="auto"/>
            </w:tcBorders>
          </w:tcPr>
          <w:p w14:paraId="48EA1EED" w14:textId="77777777" w:rsidR="0040743C" w:rsidRPr="007B5A0A" w:rsidRDefault="0040743C" w:rsidP="0040743C">
            <w:pPr>
              <w:spacing w:after="160" w:line="259" w:lineRule="auto"/>
              <w:rPr>
                <w:sz w:val="18"/>
                <w:szCs w:val="18"/>
              </w:rPr>
            </w:pPr>
            <w:r w:rsidRPr="007B5A0A">
              <w:rPr>
                <w:sz w:val="18"/>
                <w:szCs w:val="18"/>
              </w:rPr>
              <w:t>J</w:t>
            </w:r>
          </w:p>
          <w:p w14:paraId="58B14236" w14:textId="77777777" w:rsidR="0040743C" w:rsidRPr="007B5A0A" w:rsidRDefault="0040743C" w:rsidP="0040743C">
            <w:pPr>
              <w:spacing w:after="160" w:line="259" w:lineRule="auto"/>
              <w:rPr>
                <w:sz w:val="18"/>
                <w:szCs w:val="18"/>
              </w:rPr>
            </w:pPr>
          </w:p>
        </w:tc>
        <w:tc>
          <w:tcPr>
            <w:tcW w:w="1709" w:type="dxa"/>
          </w:tcPr>
          <w:p w14:paraId="4FE790D3" w14:textId="77777777" w:rsidR="0040743C" w:rsidRPr="007B5A0A" w:rsidRDefault="0040743C" w:rsidP="0040743C">
            <w:pPr>
              <w:spacing w:after="160" w:line="259" w:lineRule="auto"/>
              <w:rPr>
                <w:sz w:val="18"/>
                <w:szCs w:val="18"/>
              </w:rPr>
            </w:pPr>
          </w:p>
        </w:tc>
        <w:tc>
          <w:tcPr>
            <w:tcW w:w="2262" w:type="dxa"/>
          </w:tcPr>
          <w:p w14:paraId="01ABDAA1" w14:textId="77777777" w:rsidR="0040743C" w:rsidRPr="007B5A0A" w:rsidRDefault="0040743C" w:rsidP="0040743C">
            <w:pPr>
              <w:spacing w:after="160" w:line="259" w:lineRule="auto"/>
              <w:rPr>
                <w:sz w:val="18"/>
                <w:szCs w:val="18"/>
              </w:rPr>
            </w:pPr>
            <w:r w:rsidRPr="007B5A0A">
              <w:rPr>
                <w:sz w:val="18"/>
                <w:szCs w:val="18"/>
              </w:rPr>
              <w:t xml:space="preserve">Nerveirritation/nerveskade (skyldes </w:t>
            </w:r>
            <w:proofErr w:type="spellStart"/>
            <w:r w:rsidRPr="007B5A0A">
              <w:rPr>
                <w:sz w:val="18"/>
                <w:szCs w:val="18"/>
              </w:rPr>
              <w:t>hæmatom</w:t>
            </w:r>
            <w:proofErr w:type="spellEnd"/>
            <w:r w:rsidRPr="007B5A0A">
              <w:rPr>
                <w:sz w:val="18"/>
                <w:szCs w:val="18"/>
              </w:rPr>
              <w:t>)</w:t>
            </w:r>
          </w:p>
        </w:tc>
        <w:tc>
          <w:tcPr>
            <w:tcW w:w="4695" w:type="dxa"/>
            <w:tcBorders>
              <w:right w:val="single" w:sz="12" w:space="0" w:color="auto"/>
            </w:tcBorders>
          </w:tcPr>
          <w:p w14:paraId="38EEFC26" w14:textId="77777777" w:rsidR="0040743C" w:rsidRPr="007B5A0A" w:rsidRDefault="0040743C" w:rsidP="0040743C">
            <w:pPr>
              <w:spacing w:after="160" w:line="259" w:lineRule="auto"/>
              <w:rPr>
                <w:sz w:val="18"/>
                <w:szCs w:val="18"/>
              </w:rPr>
            </w:pPr>
            <w:r w:rsidRPr="007B5A0A">
              <w:rPr>
                <w:sz w:val="18"/>
                <w:szCs w:val="18"/>
              </w:rPr>
              <w:t xml:space="preserve">Symptomer opstået </w:t>
            </w:r>
            <w:r w:rsidRPr="007B5A0A">
              <w:rPr>
                <w:b/>
                <w:i/>
                <w:sz w:val="18"/>
                <w:szCs w:val="18"/>
              </w:rPr>
              <w:t>efter</w:t>
            </w:r>
            <w:r w:rsidRPr="007B5A0A">
              <w:rPr>
                <w:sz w:val="18"/>
                <w:szCs w:val="18"/>
              </w:rPr>
              <w:t xml:space="preserve"> nålen er fjernet:</w:t>
            </w:r>
          </w:p>
          <w:p w14:paraId="59287E22" w14:textId="2B063D11" w:rsidR="0040743C" w:rsidRPr="007B5A0A" w:rsidRDefault="0040743C" w:rsidP="0040743C">
            <w:pPr>
              <w:spacing w:after="160" w:line="259" w:lineRule="auto"/>
              <w:rPr>
                <w:sz w:val="18"/>
                <w:szCs w:val="18"/>
              </w:rPr>
            </w:pPr>
            <w:r w:rsidRPr="007B5A0A">
              <w:rPr>
                <w:sz w:val="18"/>
                <w:szCs w:val="18"/>
              </w:rPr>
              <w:t>Brændende/jagende/stikkende smerte, udstrålende smerte, føleforstyrrelse eller</w:t>
            </w:r>
            <w:r>
              <w:rPr>
                <w:sz w:val="18"/>
                <w:szCs w:val="18"/>
              </w:rPr>
              <w:t xml:space="preserve"> </w:t>
            </w:r>
            <w:r w:rsidRPr="007B5A0A">
              <w:rPr>
                <w:sz w:val="18"/>
                <w:szCs w:val="18"/>
              </w:rPr>
              <w:t xml:space="preserve">prikken/stikken i fingre/hånd og/eller </w:t>
            </w:r>
            <w:r w:rsidRPr="007B5A0A">
              <w:rPr>
                <w:sz w:val="18"/>
                <w:szCs w:val="18"/>
              </w:rPr>
              <w:lastRenderedPageBreak/>
              <w:t>arm. Symptomer kan evt. forværres ved brug af armen eller hvis armen holdes i bestemte positioner.</w:t>
            </w:r>
          </w:p>
        </w:tc>
      </w:tr>
      <w:tr w:rsidR="0040743C" w:rsidRPr="007B5A0A" w14:paraId="2778856D" w14:textId="77777777" w:rsidTr="00797E98">
        <w:tc>
          <w:tcPr>
            <w:tcW w:w="817" w:type="dxa"/>
            <w:tcBorders>
              <w:left w:val="single" w:sz="12" w:space="0" w:color="auto"/>
              <w:bottom w:val="single" w:sz="12" w:space="0" w:color="auto"/>
            </w:tcBorders>
          </w:tcPr>
          <w:p w14:paraId="03615573" w14:textId="77777777" w:rsidR="0040743C" w:rsidRPr="007B5A0A" w:rsidRDefault="0040743C" w:rsidP="0040743C">
            <w:pPr>
              <w:spacing w:after="160" w:line="259" w:lineRule="auto"/>
              <w:rPr>
                <w:sz w:val="18"/>
                <w:szCs w:val="18"/>
              </w:rPr>
            </w:pPr>
            <w:r w:rsidRPr="007B5A0A">
              <w:rPr>
                <w:sz w:val="18"/>
                <w:szCs w:val="18"/>
              </w:rPr>
              <w:lastRenderedPageBreak/>
              <w:t>K</w:t>
            </w:r>
          </w:p>
          <w:p w14:paraId="4817D02E" w14:textId="77777777" w:rsidR="0040743C" w:rsidRPr="007B5A0A" w:rsidRDefault="0040743C" w:rsidP="0040743C">
            <w:pPr>
              <w:spacing w:after="160" w:line="259" w:lineRule="auto"/>
              <w:rPr>
                <w:sz w:val="18"/>
                <w:szCs w:val="18"/>
              </w:rPr>
            </w:pPr>
          </w:p>
        </w:tc>
        <w:tc>
          <w:tcPr>
            <w:tcW w:w="1709" w:type="dxa"/>
            <w:tcBorders>
              <w:bottom w:val="single" w:sz="12" w:space="0" w:color="auto"/>
            </w:tcBorders>
          </w:tcPr>
          <w:p w14:paraId="3E38B133" w14:textId="77777777" w:rsidR="0040743C" w:rsidRPr="007B5A0A" w:rsidRDefault="0040743C" w:rsidP="0040743C">
            <w:pPr>
              <w:spacing w:after="160" w:line="259" w:lineRule="auto"/>
              <w:rPr>
                <w:sz w:val="18"/>
                <w:szCs w:val="18"/>
              </w:rPr>
            </w:pPr>
          </w:p>
        </w:tc>
        <w:tc>
          <w:tcPr>
            <w:tcW w:w="2262" w:type="dxa"/>
            <w:tcBorders>
              <w:bottom w:val="single" w:sz="12" w:space="0" w:color="auto"/>
            </w:tcBorders>
          </w:tcPr>
          <w:p w14:paraId="1FF2C23A" w14:textId="77777777" w:rsidR="0040743C" w:rsidRPr="007B5A0A" w:rsidRDefault="0040743C" w:rsidP="0040743C">
            <w:pPr>
              <w:spacing w:after="160" w:line="259" w:lineRule="auto"/>
              <w:rPr>
                <w:sz w:val="18"/>
                <w:szCs w:val="18"/>
              </w:rPr>
            </w:pPr>
            <w:r w:rsidRPr="007B5A0A">
              <w:rPr>
                <w:sz w:val="18"/>
                <w:szCs w:val="18"/>
              </w:rPr>
              <w:t>Anden smerte</w:t>
            </w:r>
          </w:p>
        </w:tc>
        <w:tc>
          <w:tcPr>
            <w:tcW w:w="4695" w:type="dxa"/>
            <w:tcBorders>
              <w:bottom w:val="single" w:sz="12" w:space="0" w:color="auto"/>
              <w:right w:val="single" w:sz="12" w:space="0" w:color="auto"/>
            </w:tcBorders>
          </w:tcPr>
          <w:p w14:paraId="3F11F699" w14:textId="77777777" w:rsidR="0040743C" w:rsidRPr="007B5A0A" w:rsidRDefault="0040743C" w:rsidP="0040743C">
            <w:pPr>
              <w:spacing w:after="160" w:line="259" w:lineRule="auto"/>
              <w:rPr>
                <w:sz w:val="18"/>
                <w:szCs w:val="18"/>
              </w:rPr>
            </w:pPr>
            <w:r w:rsidRPr="007B5A0A">
              <w:rPr>
                <w:sz w:val="18"/>
                <w:szCs w:val="18"/>
              </w:rPr>
              <w:t xml:space="preserve">Smerte i arm, som </w:t>
            </w:r>
            <w:r w:rsidRPr="007B5A0A">
              <w:rPr>
                <w:b/>
                <w:i/>
                <w:sz w:val="18"/>
                <w:szCs w:val="18"/>
              </w:rPr>
              <w:t>ikke</w:t>
            </w:r>
            <w:r w:rsidRPr="007B5A0A">
              <w:rPr>
                <w:sz w:val="18"/>
                <w:szCs w:val="18"/>
              </w:rPr>
              <w:t xml:space="preserve"> kan karakteriseres som:</w:t>
            </w:r>
          </w:p>
          <w:p w14:paraId="18E86BB4" w14:textId="28334C35" w:rsidR="0040743C" w:rsidRPr="007B5A0A" w:rsidRDefault="0040743C" w:rsidP="0040743C">
            <w:pPr>
              <w:spacing w:after="160" w:line="259" w:lineRule="auto"/>
              <w:rPr>
                <w:sz w:val="18"/>
                <w:szCs w:val="18"/>
              </w:rPr>
            </w:pPr>
            <w:r w:rsidRPr="007B5A0A">
              <w:rPr>
                <w:sz w:val="18"/>
                <w:szCs w:val="18"/>
              </w:rPr>
              <w:t xml:space="preserve">Brændende/jagende/stikkende smerte, </w:t>
            </w:r>
            <w:r>
              <w:rPr>
                <w:sz w:val="18"/>
                <w:szCs w:val="18"/>
              </w:rPr>
              <w:t>u</w:t>
            </w:r>
            <w:r w:rsidRPr="007B5A0A">
              <w:rPr>
                <w:sz w:val="18"/>
                <w:szCs w:val="18"/>
              </w:rPr>
              <w:t>dstrålende smerte, føleforstyrrelse eller</w:t>
            </w:r>
            <w:r>
              <w:rPr>
                <w:sz w:val="18"/>
                <w:szCs w:val="18"/>
              </w:rPr>
              <w:t xml:space="preserve"> </w:t>
            </w:r>
            <w:r w:rsidRPr="007B5A0A">
              <w:rPr>
                <w:sz w:val="18"/>
                <w:szCs w:val="18"/>
              </w:rPr>
              <w:t>prikken/stikken i fingre/hånd og/eller arm.</w:t>
            </w:r>
          </w:p>
        </w:tc>
      </w:tr>
      <w:tr w:rsidR="0040743C" w:rsidRPr="007B5A0A" w14:paraId="1651B1A3" w14:textId="77777777" w:rsidTr="00797E98">
        <w:tc>
          <w:tcPr>
            <w:tcW w:w="817" w:type="dxa"/>
            <w:tcBorders>
              <w:top w:val="single" w:sz="12" w:space="0" w:color="auto"/>
              <w:left w:val="single" w:sz="12" w:space="0" w:color="auto"/>
            </w:tcBorders>
          </w:tcPr>
          <w:p w14:paraId="55A36071" w14:textId="77777777" w:rsidR="0040743C" w:rsidRPr="007B5A0A" w:rsidRDefault="0040743C" w:rsidP="0040743C">
            <w:pPr>
              <w:spacing w:after="160" w:line="259" w:lineRule="auto"/>
              <w:rPr>
                <w:b/>
                <w:sz w:val="18"/>
                <w:szCs w:val="18"/>
              </w:rPr>
            </w:pPr>
          </w:p>
        </w:tc>
        <w:tc>
          <w:tcPr>
            <w:tcW w:w="1709" w:type="dxa"/>
            <w:tcBorders>
              <w:top w:val="single" w:sz="12" w:space="0" w:color="auto"/>
            </w:tcBorders>
          </w:tcPr>
          <w:p w14:paraId="5ABC775B" w14:textId="398B5FA6" w:rsidR="0040743C" w:rsidRPr="007B5A0A" w:rsidRDefault="0040743C" w:rsidP="0040743C">
            <w:pPr>
              <w:spacing w:after="160" w:line="259" w:lineRule="auto"/>
              <w:rPr>
                <w:b/>
                <w:sz w:val="18"/>
                <w:szCs w:val="18"/>
              </w:rPr>
            </w:pPr>
            <w:proofErr w:type="spellStart"/>
            <w:r w:rsidRPr="007B5A0A">
              <w:rPr>
                <w:sz w:val="18"/>
                <w:szCs w:val="18"/>
              </w:rPr>
              <w:t>Vasovagal</w:t>
            </w:r>
            <w:proofErr w:type="spellEnd"/>
            <w:r w:rsidRPr="007B5A0A">
              <w:rPr>
                <w:sz w:val="18"/>
                <w:szCs w:val="18"/>
              </w:rPr>
              <w:t xml:space="preserve"> reaktion/besvimelse</w:t>
            </w:r>
          </w:p>
        </w:tc>
        <w:tc>
          <w:tcPr>
            <w:tcW w:w="2262" w:type="dxa"/>
            <w:tcBorders>
              <w:top w:val="single" w:sz="12" w:space="0" w:color="auto"/>
            </w:tcBorders>
          </w:tcPr>
          <w:p w14:paraId="0B3BBF52" w14:textId="77777777" w:rsidR="0040743C" w:rsidRPr="007B5A0A" w:rsidRDefault="0040743C" w:rsidP="0040743C">
            <w:pPr>
              <w:spacing w:after="160" w:line="259" w:lineRule="auto"/>
              <w:rPr>
                <w:b/>
                <w:sz w:val="18"/>
                <w:szCs w:val="18"/>
              </w:rPr>
            </w:pPr>
          </w:p>
        </w:tc>
        <w:tc>
          <w:tcPr>
            <w:tcW w:w="4695" w:type="dxa"/>
            <w:tcBorders>
              <w:top w:val="single" w:sz="12" w:space="0" w:color="auto"/>
              <w:right w:val="single" w:sz="12" w:space="0" w:color="auto"/>
            </w:tcBorders>
          </w:tcPr>
          <w:p w14:paraId="0E27576D" w14:textId="77777777" w:rsidR="0040743C" w:rsidRPr="007B5A0A" w:rsidRDefault="0040743C" w:rsidP="0040743C">
            <w:pPr>
              <w:spacing w:after="160" w:line="259" w:lineRule="auto"/>
              <w:rPr>
                <w:b/>
                <w:sz w:val="18"/>
                <w:szCs w:val="18"/>
              </w:rPr>
            </w:pPr>
            <w:r w:rsidRPr="007B5A0A">
              <w:rPr>
                <w:sz w:val="18"/>
                <w:szCs w:val="18"/>
              </w:rPr>
              <w:t>Bleghed, slaphed, generelt ubehag, nervøsitet, svimmelhed, kvalme, opkastning, hyper-ventilering, bevidsthedstab, ufrivillige bevægelser, inkontinens.</w:t>
            </w:r>
          </w:p>
        </w:tc>
      </w:tr>
      <w:tr w:rsidR="0040743C" w:rsidRPr="007B5A0A" w14:paraId="298D7237" w14:textId="77777777" w:rsidTr="00797E98">
        <w:tc>
          <w:tcPr>
            <w:tcW w:w="817" w:type="dxa"/>
            <w:tcBorders>
              <w:left w:val="single" w:sz="12" w:space="0" w:color="auto"/>
            </w:tcBorders>
          </w:tcPr>
          <w:p w14:paraId="5718872A" w14:textId="77777777" w:rsidR="0040743C" w:rsidRPr="007B5A0A" w:rsidRDefault="0040743C" w:rsidP="0040743C">
            <w:pPr>
              <w:spacing w:after="160" w:line="259" w:lineRule="auto"/>
              <w:rPr>
                <w:sz w:val="18"/>
                <w:szCs w:val="18"/>
              </w:rPr>
            </w:pPr>
            <w:r w:rsidRPr="007B5A0A">
              <w:rPr>
                <w:sz w:val="18"/>
                <w:szCs w:val="18"/>
              </w:rPr>
              <w:t>L</w:t>
            </w:r>
          </w:p>
          <w:p w14:paraId="63064500" w14:textId="77777777" w:rsidR="0040743C" w:rsidRPr="007B5A0A" w:rsidRDefault="0040743C" w:rsidP="0040743C">
            <w:pPr>
              <w:spacing w:after="160" w:line="259" w:lineRule="auto"/>
              <w:rPr>
                <w:sz w:val="18"/>
                <w:szCs w:val="18"/>
              </w:rPr>
            </w:pPr>
          </w:p>
        </w:tc>
        <w:tc>
          <w:tcPr>
            <w:tcW w:w="1709" w:type="dxa"/>
          </w:tcPr>
          <w:p w14:paraId="35972D00" w14:textId="77777777" w:rsidR="0040743C" w:rsidRPr="007B5A0A" w:rsidRDefault="0040743C" w:rsidP="0040743C">
            <w:pPr>
              <w:spacing w:after="160" w:line="259" w:lineRule="auto"/>
              <w:rPr>
                <w:sz w:val="18"/>
                <w:szCs w:val="18"/>
              </w:rPr>
            </w:pPr>
          </w:p>
        </w:tc>
        <w:tc>
          <w:tcPr>
            <w:tcW w:w="2262" w:type="dxa"/>
          </w:tcPr>
          <w:p w14:paraId="16A67110" w14:textId="4EEE0A80" w:rsidR="0040743C" w:rsidRPr="007B5A0A" w:rsidRDefault="0040743C" w:rsidP="0040743C">
            <w:pPr>
              <w:spacing w:after="160" w:line="259" w:lineRule="auto"/>
              <w:rPr>
                <w:sz w:val="18"/>
                <w:szCs w:val="18"/>
              </w:rPr>
            </w:pPr>
            <w:r w:rsidRPr="007B5A0A">
              <w:rPr>
                <w:sz w:val="18"/>
                <w:szCs w:val="18"/>
              </w:rPr>
              <w:t>På tappestedet, uden tab af bevidsthed</w:t>
            </w:r>
          </w:p>
        </w:tc>
        <w:tc>
          <w:tcPr>
            <w:tcW w:w="4695" w:type="dxa"/>
            <w:tcBorders>
              <w:right w:val="single" w:sz="12" w:space="0" w:color="auto"/>
            </w:tcBorders>
          </w:tcPr>
          <w:p w14:paraId="0A4C3B59" w14:textId="77777777" w:rsidR="0040743C" w:rsidRPr="007B5A0A" w:rsidRDefault="0040743C" w:rsidP="0040743C">
            <w:pPr>
              <w:spacing w:after="160" w:line="259" w:lineRule="auto"/>
              <w:rPr>
                <w:b/>
                <w:bCs/>
                <w:sz w:val="18"/>
                <w:szCs w:val="18"/>
              </w:rPr>
            </w:pPr>
            <w:r w:rsidRPr="007B5A0A">
              <w:rPr>
                <w:b/>
                <w:bCs/>
                <w:sz w:val="18"/>
                <w:szCs w:val="18"/>
              </w:rPr>
              <w:t xml:space="preserve">Skal registreres såfremt der er behov for tiltag for at undgå at donor besvimer fx lejring i </w:t>
            </w:r>
            <w:proofErr w:type="spellStart"/>
            <w:r w:rsidRPr="007B5A0A">
              <w:rPr>
                <w:b/>
                <w:bCs/>
                <w:sz w:val="18"/>
                <w:szCs w:val="18"/>
              </w:rPr>
              <w:t>Trendelenburgs</w:t>
            </w:r>
            <w:proofErr w:type="spellEnd"/>
            <w:r w:rsidRPr="007B5A0A">
              <w:rPr>
                <w:b/>
                <w:bCs/>
                <w:sz w:val="18"/>
                <w:szCs w:val="18"/>
              </w:rPr>
              <w:t xml:space="preserve"> leje eller ophør af tapning. Skal desuden registreres såfremt donor ønsker at ophøre som donor </w:t>
            </w:r>
            <w:proofErr w:type="spellStart"/>
            <w:r w:rsidRPr="007B5A0A">
              <w:rPr>
                <w:b/>
                <w:bCs/>
                <w:sz w:val="18"/>
                <w:szCs w:val="18"/>
              </w:rPr>
              <w:t>pga</w:t>
            </w:r>
            <w:proofErr w:type="spellEnd"/>
            <w:r w:rsidRPr="007B5A0A">
              <w:rPr>
                <w:b/>
                <w:bCs/>
                <w:sz w:val="18"/>
                <w:szCs w:val="18"/>
              </w:rPr>
              <w:t xml:space="preserve"> ubehag ved tapning.</w:t>
            </w:r>
          </w:p>
        </w:tc>
      </w:tr>
      <w:tr w:rsidR="0040743C" w:rsidRPr="007B5A0A" w14:paraId="1EFA7F67" w14:textId="77777777" w:rsidTr="00797E98">
        <w:tc>
          <w:tcPr>
            <w:tcW w:w="817" w:type="dxa"/>
            <w:tcBorders>
              <w:left w:val="single" w:sz="12" w:space="0" w:color="auto"/>
            </w:tcBorders>
          </w:tcPr>
          <w:p w14:paraId="2D55D406" w14:textId="5FCF94C6" w:rsidR="0040743C" w:rsidRPr="007B5A0A" w:rsidRDefault="0040743C" w:rsidP="0040743C">
            <w:pPr>
              <w:spacing w:after="160" w:line="259" w:lineRule="auto"/>
              <w:rPr>
                <w:sz w:val="18"/>
                <w:szCs w:val="18"/>
              </w:rPr>
            </w:pPr>
            <w:r w:rsidRPr="007B5A0A">
              <w:rPr>
                <w:sz w:val="18"/>
                <w:szCs w:val="18"/>
              </w:rPr>
              <w:t>M</w:t>
            </w:r>
          </w:p>
        </w:tc>
        <w:tc>
          <w:tcPr>
            <w:tcW w:w="1709" w:type="dxa"/>
          </w:tcPr>
          <w:p w14:paraId="1A85303A" w14:textId="77777777" w:rsidR="0040743C" w:rsidRPr="007B5A0A" w:rsidRDefault="0040743C" w:rsidP="0040743C">
            <w:pPr>
              <w:spacing w:after="160" w:line="259" w:lineRule="auto"/>
              <w:rPr>
                <w:sz w:val="18"/>
                <w:szCs w:val="18"/>
              </w:rPr>
            </w:pPr>
          </w:p>
        </w:tc>
        <w:tc>
          <w:tcPr>
            <w:tcW w:w="2262" w:type="dxa"/>
          </w:tcPr>
          <w:p w14:paraId="1534F6DF" w14:textId="5CEA1EFD" w:rsidR="0040743C" w:rsidRPr="007B5A0A" w:rsidRDefault="0040743C" w:rsidP="0040743C">
            <w:pPr>
              <w:spacing w:after="160" w:line="259" w:lineRule="auto"/>
              <w:rPr>
                <w:sz w:val="18"/>
                <w:szCs w:val="18"/>
              </w:rPr>
            </w:pPr>
            <w:r w:rsidRPr="007B5A0A">
              <w:rPr>
                <w:sz w:val="18"/>
                <w:szCs w:val="18"/>
              </w:rPr>
              <w:t>På tappestedet,</w:t>
            </w:r>
            <w:r>
              <w:rPr>
                <w:sz w:val="18"/>
                <w:szCs w:val="18"/>
              </w:rPr>
              <w:t xml:space="preserve"> </w:t>
            </w:r>
            <w:r w:rsidRPr="007B5A0A">
              <w:rPr>
                <w:sz w:val="18"/>
                <w:szCs w:val="18"/>
              </w:rPr>
              <w:t>med tab af bevidsthed</w:t>
            </w:r>
          </w:p>
        </w:tc>
        <w:tc>
          <w:tcPr>
            <w:tcW w:w="4695" w:type="dxa"/>
            <w:tcBorders>
              <w:right w:val="single" w:sz="12" w:space="0" w:color="auto"/>
            </w:tcBorders>
          </w:tcPr>
          <w:p w14:paraId="2BEF8628" w14:textId="77777777" w:rsidR="0040743C" w:rsidRPr="007B5A0A" w:rsidRDefault="0040743C" w:rsidP="0040743C">
            <w:pPr>
              <w:spacing w:after="160" w:line="259" w:lineRule="auto"/>
              <w:rPr>
                <w:sz w:val="18"/>
                <w:szCs w:val="18"/>
              </w:rPr>
            </w:pPr>
          </w:p>
        </w:tc>
      </w:tr>
      <w:tr w:rsidR="0040743C" w:rsidRPr="007B5A0A" w14:paraId="2940F2F9" w14:textId="77777777" w:rsidTr="00797E98">
        <w:tc>
          <w:tcPr>
            <w:tcW w:w="817" w:type="dxa"/>
            <w:tcBorders>
              <w:left w:val="single" w:sz="12" w:space="0" w:color="auto"/>
            </w:tcBorders>
          </w:tcPr>
          <w:p w14:paraId="2A08B8A2" w14:textId="477EA011" w:rsidR="0040743C" w:rsidRPr="007B5A0A" w:rsidRDefault="0040743C" w:rsidP="0040743C">
            <w:pPr>
              <w:spacing w:after="160" w:line="259" w:lineRule="auto"/>
              <w:rPr>
                <w:sz w:val="18"/>
                <w:szCs w:val="18"/>
              </w:rPr>
            </w:pPr>
            <w:r w:rsidRPr="007B5A0A">
              <w:rPr>
                <w:sz w:val="18"/>
                <w:szCs w:val="18"/>
              </w:rPr>
              <w:t>N</w:t>
            </w:r>
          </w:p>
        </w:tc>
        <w:tc>
          <w:tcPr>
            <w:tcW w:w="1709" w:type="dxa"/>
          </w:tcPr>
          <w:p w14:paraId="31DDFDF1" w14:textId="77777777" w:rsidR="0040743C" w:rsidRPr="007B5A0A" w:rsidRDefault="0040743C" w:rsidP="0040743C">
            <w:pPr>
              <w:spacing w:after="160" w:line="259" w:lineRule="auto"/>
              <w:rPr>
                <w:sz w:val="18"/>
                <w:szCs w:val="18"/>
              </w:rPr>
            </w:pPr>
          </w:p>
        </w:tc>
        <w:tc>
          <w:tcPr>
            <w:tcW w:w="2262" w:type="dxa"/>
          </w:tcPr>
          <w:p w14:paraId="0C488929" w14:textId="1CB3CA92" w:rsidR="0040743C" w:rsidRPr="007B5A0A" w:rsidRDefault="0040743C" w:rsidP="0040743C">
            <w:pPr>
              <w:spacing w:after="160" w:line="259" w:lineRule="auto"/>
              <w:rPr>
                <w:sz w:val="18"/>
                <w:szCs w:val="18"/>
              </w:rPr>
            </w:pPr>
            <w:r w:rsidRPr="007B5A0A">
              <w:rPr>
                <w:sz w:val="18"/>
                <w:szCs w:val="18"/>
              </w:rPr>
              <w:t>Uden for tappestedet, uden tab af bevidsthed</w:t>
            </w:r>
          </w:p>
        </w:tc>
        <w:tc>
          <w:tcPr>
            <w:tcW w:w="4695" w:type="dxa"/>
            <w:tcBorders>
              <w:right w:val="single" w:sz="12" w:space="0" w:color="auto"/>
            </w:tcBorders>
          </w:tcPr>
          <w:p w14:paraId="55C2B259" w14:textId="77777777" w:rsidR="0040743C" w:rsidRPr="007B5A0A" w:rsidRDefault="0040743C" w:rsidP="0040743C">
            <w:pPr>
              <w:spacing w:after="160" w:line="259" w:lineRule="auto"/>
              <w:rPr>
                <w:sz w:val="18"/>
                <w:szCs w:val="18"/>
              </w:rPr>
            </w:pPr>
          </w:p>
        </w:tc>
      </w:tr>
      <w:tr w:rsidR="0040743C" w:rsidRPr="007B5A0A" w14:paraId="3A3143A0" w14:textId="77777777" w:rsidTr="00797E98">
        <w:tc>
          <w:tcPr>
            <w:tcW w:w="817" w:type="dxa"/>
            <w:tcBorders>
              <w:left w:val="single" w:sz="12" w:space="0" w:color="auto"/>
              <w:bottom w:val="single" w:sz="12" w:space="0" w:color="auto"/>
            </w:tcBorders>
          </w:tcPr>
          <w:p w14:paraId="52B13F3B" w14:textId="501EC529" w:rsidR="0040743C" w:rsidRPr="007B5A0A" w:rsidRDefault="0040743C" w:rsidP="0040743C">
            <w:pPr>
              <w:spacing w:after="160" w:line="259" w:lineRule="auto"/>
              <w:rPr>
                <w:sz w:val="18"/>
                <w:szCs w:val="18"/>
              </w:rPr>
            </w:pPr>
            <w:r w:rsidRPr="007B5A0A">
              <w:rPr>
                <w:sz w:val="18"/>
                <w:szCs w:val="18"/>
              </w:rPr>
              <w:t>O</w:t>
            </w:r>
          </w:p>
        </w:tc>
        <w:tc>
          <w:tcPr>
            <w:tcW w:w="1709" w:type="dxa"/>
            <w:tcBorders>
              <w:bottom w:val="single" w:sz="12" w:space="0" w:color="auto"/>
            </w:tcBorders>
          </w:tcPr>
          <w:p w14:paraId="738497C1" w14:textId="77777777" w:rsidR="0040743C" w:rsidRPr="007B5A0A" w:rsidRDefault="0040743C" w:rsidP="0040743C">
            <w:pPr>
              <w:spacing w:after="160" w:line="259" w:lineRule="auto"/>
              <w:rPr>
                <w:sz w:val="18"/>
                <w:szCs w:val="18"/>
              </w:rPr>
            </w:pPr>
          </w:p>
        </w:tc>
        <w:tc>
          <w:tcPr>
            <w:tcW w:w="2262" w:type="dxa"/>
            <w:tcBorders>
              <w:bottom w:val="single" w:sz="12" w:space="0" w:color="auto"/>
            </w:tcBorders>
          </w:tcPr>
          <w:p w14:paraId="7122497B" w14:textId="15F0C0BD" w:rsidR="0040743C" w:rsidRPr="007B5A0A" w:rsidRDefault="0040743C" w:rsidP="0040743C">
            <w:pPr>
              <w:spacing w:after="160" w:line="259" w:lineRule="auto"/>
              <w:rPr>
                <w:sz w:val="18"/>
                <w:szCs w:val="18"/>
              </w:rPr>
            </w:pPr>
            <w:r w:rsidRPr="007B5A0A">
              <w:rPr>
                <w:sz w:val="18"/>
                <w:szCs w:val="18"/>
              </w:rPr>
              <w:t>Uden for tappestedet,</w:t>
            </w:r>
            <w:r>
              <w:rPr>
                <w:sz w:val="18"/>
                <w:szCs w:val="18"/>
              </w:rPr>
              <w:t xml:space="preserve"> </w:t>
            </w:r>
            <w:r w:rsidRPr="007B5A0A">
              <w:rPr>
                <w:sz w:val="18"/>
                <w:szCs w:val="18"/>
              </w:rPr>
              <w:t>med tab af bevidsthed</w:t>
            </w:r>
          </w:p>
        </w:tc>
        <w:tc>
          <w:tcPr>
            <w:tcW w:w="4695" w:type="dxa"/>
            <w:tcBorders>
              <w:bottom w:val="single" w:sz="12" w:space="0" w:color="auto"/>
              <w:right w:val="single" w:sz="12" w:space="0" w:color="auto"/>
            </w:tcBorders>
          </w:tcPr>
          <w:p w14:paraId="4B69F037" w14:textId="77777777" w:rsidR="0040743C" w:rsidRPr="007B5A0A" w:rsidRDefault="0040743C" w:rsidP="0040743C">
            <w:pPr>
              <w:spacing w:after="160" w:line="259" w:lineRule="auto"/>
              <w:rPr>
                <w:sz w:val="18"/>
                <w:szCs w:val="18"/>
              </w:rPr>
            </w:pPr>
          </w:p>
        </w:tc>
      </w:tr>
      <w:tr w:rsidR="0040743C" w:rsidRPr="007B5A0A" w14:paraId="208DA31B" w14:textId="77777777" w:rsidTr="00797E98">
        <w:tc>
          <w:tcPr>
            <w:tcW w:w="817" w:type="dxa"/>
            <w:tcBorders>
              <w:top w:val="single" w:sz="12" w:space="0" w:color="auto"/>
              <w:left w:val="single" w:sz="12" w:space="0" w:color="auto"/>
            </w:tcBorders>
          </w:tcPr>
          <w:p w14:paraId="0EFC1C35" w14:textId="77777777" w:rsidR="0040743C" w:rsidRPr="007B5A0A" w:rsidRDefault="0040743C" w:rsidP="0040743C">
            <w:pPr>
              <w:spacing w:after="160" w:line="259" w:lineRule="auto"/>
              <w:rPr>
                <w:sz w:val="18"/>
                <w:szCs w:val="18"/>
              </w:rPr>
            </w:pPr>
          </w:p>
        </w:tc>
        <w:tc>
          <w:tcPr>
            <w:tcW w:w="1709" w:type="dxa"/>
            <w:tcBorders>
              <w:top w:val="single" w:sz="12" w:space="0" w:color="auto"/>
            </w:tcBorders>
          </w:tcPr>
          <w:p w14:paraId="4AA42759" w14:textId="77777777" w:rsidR="0040743C" w:rsidRPr="007B5A0A" w:rsidRDefault="0040743C" w:rsidP="0040743C">
            <w:pPr>
              <w:spacing w:after="160" w:line="259" w:lineRule="auto"/>
              <w:rPr>
                <w:sz w:val="18"/>
                <w:szCs w:val="18"/>
              </w:rPr>
            </w:pPr>
            <w:proofErr w:type="spellStart"/>
            <w:r w:rsidRPr="007B5A0A">
              <w:rPr>
                <w:sz w:val="18"/>
                <w:szCs w:val="18"/>
              </w:rPr>
              <w:t>Aferesebivirkning</w:t>
            </w:r>
            <w:proofErr w:type="spellEnd"/>
          </w:p>
        </w:tc>
        <w:tc>
          <w:tcPr>
            <w:tcW w:w="2262" w:type="dxa"/>
            <w:tcBorders>
              <w:top w:val="single" w:sz="12" w:space="0" w:color="auto"/>
            </w:tcBorders>
          </w:tcPr>
          <w:p w14:paraId="1686527B" w14:textId="77777777" w:rsidR="0040743C" w:rsidRPr="007B5A0A" w:rsidRDefault="0040743C" w:rsidP="0040743C">
            <w:pPr>
              <w:spacing w:after="160" w:line="259" w:lineRule="auto"/>
              <w:rPr>
                <w:sz w:val="18"/>
                <w:szCs w:val="18"/>
              </w:rPr>
            </w:pPr>
          </w:p>
        </w:tc>
        <w:tc>
          <w:tcPr>
            <w:tcW w:w="4695" w:type="dxa"/>
            <w:tcBorders>
              <w:top w:val="single" w:sz="12" w:space="0" w:color="auto"/>
              <w:right w:val="single" w:sz="12" w:space="0" w:color="auto"/>
            </w:tcBorders>
          </w:tcPr>
          <w:p w14:paraId="3A1707A9" w14:textId="77777777" w:rsidR="0040743C" w:rsidRPr="007B5A0A" w:rsidRDefault="0040743C" w:rsidP="0040743C">
            <w:pPr>
              <w:spacing w:after="160" w:line="259" w:lineRule="auto"/>
              <w:rPr>
                <w:sz w:val="18"/>
                <w:szCs w:val="18"/>
              </w:rPr>
            </w:pPr>
          </w:p>
        </w:tc>
      </w:tr>
      <w:tr w:rsidR="0040743C" w:rsidRPr="007B5A0A" w14:paraId="3D8B6227" w14:textId="77777777" w:rsidTr="00797E98">
        <w:tc>
          <w:tcPr>
            <w:tcW w:w="817" w:type="dxa"/>
            <w:tcBorders>
              <w:left w:val="single" w:sz="12" w:space="0" w:color="auto"/>
            </w:tcBorders>
          </w:tcPr>
          <w:p w14:paraId="74B70BF0" w14:textId="77777777" w:rsidR="0040743C" w:rsidRPr="007B5A0A" w:rsidRDefault="0040743C" w:rsidP="0040743C">
            <w:pPr>
              <w:spacing w:after="160" w:line="259" w:lineRule="auto"/>
              <w:rPr>
                <w:sz w:val="18"/>
                <w:szCs w:val="18"/>
              </w:rPr>
            </w:pPr>
            <w:r w:rsidRPr="007B5A0A">
              <w:rPr>
                <w:sz w:val="18"/>
                <w:szCs w:val="18"/>
              </w:rPr>
              <w:t>P</w:t>
            </w:r>
          </w:p>
          <w:p w14:paraId="2D51DAD1" w14:textId="77777777" w:rsidR="0040743C" w:rsidRPr="007B5A0A" w:rsidRDefault="0040743C" w:rsidP="0040743C">
            <w:pPr>
              <w:spacing w:after="160" w:line="259" w:lineRule="auto"/>
              <w:rPr>
                <w:sz w:val="18"/>
                <w:szCs w:val="18"/>
              </w:rPr>
            </w:pPr>
          </w:p>
        </w:tc>
        <w:tc>
          <w:tcPr>
            <w:tcW w:w="1709" w:type="dxa"/>
          </w:tcPr>
          <w:p w14:paraId="317D7D7F" w14:textId="77777777" w:rsidR="0040743C" w:rsidRPr="007B5A0A" w:rsidRDefault="0040743C" w:rsidP="0040743C">
            <w:pPr>
              <w:spacing w:after="160" w:line="259" w:lineRule="auto"/>
              <w:rPr>
                <w:sz w:val="18"/>
                <w:szCs w:val="18"/>
              </w:rPr>
            </w:pPr>
          </w:p>
        </w:tc>
        <w:tc>
          <w:tcPr>
            <w:tcW w:w="2262" w:type="dxa"/>
          </w:tcPr>
          <w:p w14:paraId="36444AD4" w14:textId="77777777" w:rsidR="0040743C" w:rsidRPr="007B5A0A" w:rsidRDefault="0040743C" w:rsidP="0040743C">
            <w:pPr>
              <w:spacing w:after="160" w:line="259" w:lineRule="auto"/>
              <w:rPr>
                <w:sz w:val="18"/>
                <w:szCs w:val="18"/>
              </w:rPr>
            </w:pPr>
            <w:r w:rsidRPr="007B5A0A">
              <w:rPr>
                <w:sz w:val="18"/>
                <w:szCs w:val="18"/>
              </w:rPr>
              <w:t>Citratreaktion</w:t>
            </w:r>
          </w:p>
        </w:tc>
        <w:tc>
          <w:tcPr>
            <w:tcW w:w="4695" w:type="dxa"/>
            <w:tcBorders>
              <w:right w:val="single" w:sz="12" w:space="0" w:color="auto"/>
            </w:tcBorders>
          </w:tcPr>
          <w:p w14:paraId="74F76ABF" w14:textId="77777777" w:rsidR="0040743C" w:rsidRPr="007B5A0A" w:rsidRDefault="0040743C" w:rsidP="0040743C">
            <w:pPr>
              <w:spacing w:after="160" w:line="259" w:lineRule="auto"/>
              <w:rPr>
                <w:sz w:val="18"/>
                <w:szCs w:val="18"/>
              </w:rPr>
            </w:pPr>
            <w:r w:rsidRPr="007B5A0A">
              <w:rPr>
                <w:sz w:val="18"/>
                <w:szCs w:val="18"/>
              </w:rPr>
              <w:t>Føleforstyrrelser/prikken/stikken i mund/fingre, metalsmag, hovedpine, kvalme, opkastning, muskelsammentrækninger.</w:t>
            </w:r>
          </w:p>
          <w:p w14:paraId="52C72961" w14:textId="77777777" w:rsidR="0040743C" w:rsidRPr="007B5A0A" w:rsidRDefault="0040743C" w:rsidP="0040743C">
            <w:pPr>
              <w:spacing w:after="160" w:line="259" w:lineRule="auto"/>
              <w:rPr>
                <w:b/>
                <w:bCs/>
                <w:sz w:val="18"/>
                <w:szCs w:val="18"/>
              </w:rPr>
            </w:pPr>
            <w:r w:rsidRPr="007B5A0A">
              <w:rPr>
                <w:b/>
                <w:bCs/>
                <w:sz w:val="18"/>
                <w:szCs w:val="18"/>
              </w:rPr>
              <w:t xml:space="preserve">Skal registreres såfremt donors symptomer behandles med calcium (tabletter eller iv.) eller donor ønsker at ophøre som </w:t>
            </w:r>
            <w:proofErr w:type="spellStart"/>
            <w:r w:rsidRPr="007B5A0A">
              <w:rPr>
                <w:b/>
                <w:bCs/>
                <w:sz w:val="18"/>
                <w:szCs w:val="18"/>
              </w:rPr>
              <w:t>aferesedonor</w:t>
            </w:r>
            <w:proofErr w:type="spellEnd"/>
            <w:r w:rsidRPr="007B5A0A">
              <w:rPr>
                <w:b/>
                <w:bCs/>
                <w:sz w:val="18"/>
                <w:szCs w:val="18"/>
              </w:rPr>
              <w:t xml:space="preserve"> </w:t>
            </w:r>
            <w:proofErr w:type="spellStart"/>
            <w:r w:rsidRPr="007B5A0A">
              <w:rPr>
                <w:b/>
                <w:bCs/>
                <w:sz w:val="18"/>
                <w:szCs w:val="18"/>
              </w:rPr>
              <w:t>pga</w:t>
            </w:r>
            <w:proofErr w:type="spellEnd"/>
            <w:r w:rsidRPr="007B5A0A">
              <w:rPr>
                <w:b/>
                <w:bCs/>
                <w:sz w:val="18"/>
                <w:szCs w:val="18"/>
              </w:rPr>
              <w:t xml:space="preserve"> ubehag</w:t>
            </w:r>
          </w:p>
        </w:tc>
      </w:tr>
      <w:tr w:rsidR="0040743C" w:rsidRPr="007B5A0A" w14:paraId="40B05AA6" w14:textId="77777777" w:rsidTr="00797E98">
        <w:tc>
          <w:tcPr>
            <w:tcW w:w="817" w:type="dxa"/>
            <w:tcBorders>
              <w:left w:val="single" w:sz="12" w:space="0" w:color="auto"/>
            </w:tcBorders>
          </w:tcPr>
          <w:p w14:paraId="27414BEF" w14:textId="77777777" w:rsidR="0040743C" w:rsidRPr="007B5A0A" w:rsidRDefault="0040743C" w:rsidP="0040743C">
            <w:pPr>
              <w:spacing w:after="160" w:line="259" w:lineRule="auto"/>
              <w:rPr>
                <w:sz w:val="18"/>
                <w:szCs w:val="18"/>
              </w:rPr>
            </w:pPr>
            <w:r w:rsidRPr="007B5A0A">
              <w:rPr>
                <w:sz w:val="18"/>
                <w:szCs w:val="18"/>
              </w:rPr>
              <w:t>Q</w:t>
            </w:r>
          </w:p>
          <w:p w14:paraId="0F0ADA88" w14:textId="77777777" w:rsidR="0040743C" w:rsidRPr="007B5A0A" w:rsidRDefault="0040743C" w:rsidP="0040743C">
            <w:pPr>
              <w:spacing w:after="160" w:line="259" w:lineRule="auto"/>
              <w:rPr>
                <w:sz w:val="18"/>
                <w:szCs w:val="18"/>
              </w:rPr>
            </w:pPr>
          </w:p>
        </w:tc>
        <w:tc>
          <w:tcPr>
            <w:tcW w:w="1709" w:type="dxa"/>
          </w:tcPr>
          <w:p w14:paraId="582EF76F" w14:textId="77777777" w:rsidR="0040743C" w:rsidRPr="007B5A0A" w:rsidRDefault="0040743C" w:rsidP="0040743C">
            <w:pPr>
              <w:spacing w:after="160" w:line="259" w:lineRule="auto"/>
              <w:rPr>
                <w:sz w:val="18"/>
                <w:szCs w:val="18"/>
              </w:rPr>
            </w:pPr>
          </w:p>
        </w:tc>
        <w:tc>
          <w:tcPr>
            <w:tcW w:w="2262" w:type="dxa"/>
          </w:tcPr>
          <w:p w14:paraId="1CD752F7" w14:textId="77777777" w:rsidR="0040743C" w:rsidRPr="007B5A0A" w:rsidRDefault="0040743C" w:rsidP="0040743C">
            <w:pPr>
              <w:spacing w:after="160" w:line="259" w:lineRule="auto"/>
              <w:rPr>
                <w:sz w:val="18"/>
                <w:szCs w:val="18"/>
              </w:rPr>
            </w:pPr>
            <w:r w:rsidRPr="007B5A0A">
              <w:rPr>
                <w:sz w:val="18"/>
                <w:szCs w:val="18"/>
              </w:rPr>
              <w:t>Infiltration</w:t>
            </w:r>
          </w:p>
          <w:p w14:paraId="0B9687F4" w14:textId="77777777" w:rsidR="0040743C" w:rsidRPr="007B5A0A" w:rsidRDefault="0040743C" w:rsidP="0040743C">
            <w:pPr>
              <w:spacing w:after="160" w:line="259" w:lineRule="auto"/>
              <w:rPr>
                <w:sz w:val="18"/>
                <w:szCs w:val="18"/>
              </w:rPr>
            </w:pPr>
            <w:r w:rsidRPr="007B5A0A">
              <w:rPr>
                <w:sz w:val="18"/>
                <w:szCs w:val="18"/>
              </w:rPr>
              <w:t>(tilbageløb i væv)</w:t>
            </w:r>
          </w:p>
        </w:tc>
        <w:tc>
          <w:tcPr>
            <w:tcW w:w="4695" w:type="dxa"/>
            <w:tcBorders>
              <w:right w:val="single" w:sz="12" w:space="0" w:color="auto"/>
            </w:tcBorders>
          </w:tcPr>
          <w:p w14:paraId="28EA544A" w14:textId="77777777" w:rsidR="0040743C" w:rsidRPr="007B5A0A" w:rsidRDefault="0040743C" w:rsidP="0040743C">
            <w:pPr>
              <w:spacing w:after="160" w:line="259" w:lineRule="auto"/>
              <w:rPr>
                <w:sz w:val="18"/>
                <w:szCs w:val="18"/>
              </w:rPr>
            </w:pPr>
            <w:r w:rsidRPr="007B5A0A">
              <w:rPr>
                <w:sz w:val="18"/>
                <w:szCs w:val="18"/>
              </w:rPr>
              <w:t xml:space="preserve">Hævelse og smerte omkring indstikssted pga. udsivning i væv af væske/celler som opstår </w:t>
            </w:r>
            <w:r w:rsidRPr="007B5A0A">
              <w:rPr>
                <w:b/>
                <w:i/>
                <w:sz w:val="18"/>
                <w:szCs w:val="18"/>
              </w:rPr>
              <w:t>samtidig</w:t>
            </w:r>
            <w:r w:rsidRPr="007B5A0A">
              <w:rPr>
                <w:sz w:val="18"/>
                <w:szCs w:val="18"/>
              </w:rPr>
              <w:t xml:space="preserve"> med returløb til donor. </w:t>
            </w:r>
          </w:p>
        </w:tc>
      </w:tr>
      <w:tr w:rsidR="0040743C" w:rsidRPr="007B5A0A" w14:paraId="109FC658" w14:textId="77777777" w:rsidTr="00797E98">
        <w:tc>
          <w:tcPr>
            <w:tcW w:w="817" w:type="dxa"/>
            <w:tcBorders>
              <w:left w:val="single" w:sz="12" w:space="0" w:color="auto"/>
            </w:tcBorders>
          </w:tcPr>
          <w:p w14:paraId="48925BE2" w14:textId="77777777" w:rsidR="0040743C" w:rsidRPr="007B5A0A" w:rsidRDefault="0040743C" w:rsidP="0040743C">
            <w:pPr>
              <w:spacing w:after="160" w:line="259" w:lineRule="auto"/>
              <w:rPr>
                <w:sz w:val="18"/>
                <w:szCs w:val="18"/>
              </w:rPr>
            </w:pPr>
            <w:r w:rsidRPr="007B5A0A">
              <w:rPr>
                <w:sz w:val="18"/>
                <w:szCs w:val="18"/>
              </w:rPr>
              <w:t>R</w:t>
            </w:r>
          </w:p>
          <w:p w14:paraId="31DBD52E" w14:textId="77777777" w:rsidR="0040743C" w:rsidRPr="007B5A0A" w:rsidRDefault="0040743C" w:rsidP="0040743C">
            <w:pPr>
              <w:spacing w:after="160" w:line="259" w:lineRule="auto"/>
              <w:rPr>
                <w:sz w:val="18"/>
                <w:szCs w:val="18"/>
              </w:rPr>
            </w:pPr>
          </w:p>
        </w:tc>
        <w:tc>
          <w:tcPr>
            <w:tcW w:w="1709" w:type="dxa"/>
          </w:tcPr>
          <w:p w14:paraId="38554453" w14:textId="77777777" w:rsidR="0040743C" w:rsidRPr="007B5A0A" w:rsidRDefault="0040743C" w:rsidP="0040743C">
            <w:pPr>
              <w:spacing w:after="160" w:line="259" w:lineRule="auto"/>
              <w:rPr>
                <w:sz w:val="18"/>
                <w:szCs w:val="18"/>
              </w:rPr>
            </w:pPr>
          </w:p>
        </w:tc>
        <w:tc>
          <w:tcPr>
            <w:tcW w:w="2262" w:type="dxa"/>
          </w:tcPr>
          <w:p w14:paraId="3A2AECD5" w14:textId="77777777" w:rsidR="0040743C" w:rsidRPr="007B5A0A" w:rsidRDefault="0040743C" w:rsidP="0040743C">
            <w:pPr>
              <w:spacing w:after="160" w:line="259" w:lineRule="auto"/>
              <w:rPr>
                <w:sz w:val="18"/>
                <w:szCs w:val="18"/>
              </w:rPr>
            </w:pPr>
            <w:proofErr w:type="spellStart"/>
            <w:r w:rsidRPr="007B5A0A">
              <w:rPr>
                <w:sz w:val="18"/>
                <w:szCs w:val="18"/>
              </w:rPr>
              <w:t>Luftemboli</w:t>
            </w:r>
            <w:proofErr w:type="spellEnd"/>
          </w:p>
        </w:tc>
        <w:tc>
          <w:tcPr>
            <w:tcW w:w="4695" w:type="dxa"/>
            <w:tcBorders>
              <w:right w:val="single" w:sz="12" w:space="0" w:color="auto"/>
            </w:tcBorders>
          </w:tcPr>
          <w:p w14:paraId="1BCC8890" w14:textId="77777777" w:rsidR="0040743C" w:rsidRPr="007B5A0A" w:rsidRDefault="0040743C" w:rsidP="0040743C">
            <w:pPr>
              <w:spacing w:after="160" w:line="259" w:lineRule="auto"/>
              <w:rPr>
                <w:sz w:val="18"/>
                <w:szCs w:val="18"/>
              </w:rPr>
            </w:pPr>
            <w:r w:rsidRPr="007B5A0A">
              <w:rPr>
                <w:sz w:val="18"/>
                <w:szCs w:val="18"/>
              </w:rPr>
              <w:t>Boblende lyd, boblende følelse ved indstikssted, hoste, åndenød, sveden, brystsmerter, hurtig puls, lavt blodtryk, konfusion, kvalme, opkast.</w:t>
            </w:r>
          </w:p>
        </w:tc>
      </w:tr>
      <w:tr w:rsidR="0040743C" w:rsidRPr="007B5A0A" w14:paraId="7EB740FA" w14:textId="77777777" w:rsidTr="00797E98">
        <w:trPr>
          <w:trHeight w:val="557"/>
        </w:trPr>
        <w:tc>
          <w:tcPr>
            <w:tcW w:w="817" w:type="dxa"/>
            <w:tcBorders>
              <w:left w:val="single" w:sz="12" w:space="0" w:color="auto"/>
              <w:bottom w:val="single" w:sz="12" w:space="0" w:color="auto"/>
            </w:tcBorders>
          </w:tcPr>
          <w:p w14:paraId="0A7E3592" w14:textId="6B6EE977" w:rsidR="0040743C" w:rsidRPr="007B5A0A" w:rsidRDefault="0040743C" w:rsidP="0040743C">
            <w:pPr>
              <w:spacing w:after="160" w:line="259" w:lineRule="auto"/>
              <w:rPr>
                <w:sz w:val="18"/>
                <w:szCs w:val="18"/>
              </w:rPr>
            </w:pPr>
            <w:r w:rsidRPr="007B5A0A">
              <w:rPr>
                <w:sz w:val="18"/>
                <w:szCs w:val="18"/>
              </w:rPr>
              <w:t>S</w:t>
            </w:r>
          </w:p>
        </w:tc>
        <w:tc>
          <w:tcPr>
            <w:tcW w:w="1709" w:type="dxa"/>
            <w:tcBorders>
              <w:bottom w:val="single" w:sz="12" w:space="0" w:color="auto"/>
            </w:tcBorders>
          </w:tcPr>
          <w:p w14:paraId="0BCA52AF" w14:textId="77777777" w:rsidR="0040743C" w:rsidRPr="007B5A0A" w:rsidRDefault="0040743C" w:rsidP="0040743C">
            <w:pPr>
              <w:spacing w:after="160" w:line="259" w:lineRule="auto"/>
              <w:rPr>
                <w:sz w:val="18"/>
                <w:szCs w:val="18"/>
              </w:rPr>
            </w:pPr>
          </w:p>
        </w:tc>
        <w:tc>
          <w:tcPr>
            <w:tcW w:w="2262" w:type="dxa"/>
            <w:tcBorders>
              <w:bottom w:val="single" w:sz="12" w:space="0" w:color="auto"/>
            </w:tcBorders>
          </w:tcPr>
          <w:p w14:paraId="6BD2B5D9" w14:textId="77777777" w:rsidR="0040743C" w:rsidRPr="007B5A0A" w:rsidRDefault="0040743C" w:rsidP="0040743C">
            <w:pPr>
              <w:spacing w:after="160" w:line="259" w:lineRule="auto"/>
              <w:rPr>
                <w:sz w:val="18"/>
                <w:szCs w:val="18"/>
              </w:rPr>
            </w:pPr>
            <w:proofErr w:type="spellStart"/>
            <w:r w:rsidRPr="007B5A0A">
              <w:rPr>
                <w:sz w:val="18"/>
                <w:szCs w:val="18"/>
              </w:rPr>
              <w:t>Hæmolyse</w:t>
            </w:r>
            <w:proofErr w:type="spellEnd"/>
          </w:p>
        </w:tc>
        <w:tc>
          <w:tcPr>
            <w:tcW w:w="4695" w:type="dxa"/>
            <w:tcBorders>
              <w:bottom w:val="single" w:sz="12" w:space="0" w:color="auto"/>
              <w:right w:val="single" w:sz="12" w:space="0" w:color="auto"/>
            </w:tcBorders>
          </w:tcPr>
          <w:p w14:paraId="0D974178" w14:textId="77777777" w:rsidR="0040743C" w:rsidRPr="007B5A0A" w:rsidRDefault="0040743C" w:rsidP="0040743C">
            <w:pPr>
              <w:spacing w:after="160" w:line="259" w:lineRule="auto"/>
              <w:rPr>
                <w:sz w:val="18"/>
                <w:szCs w:val="18"/>
              </w:rPr>
            </w:pPr>
            <w:r w:rsidRPr="007B5A0A">
              <w:rPr>
                <w:sz w:val="18"/>
                <w:szCs w:val="18"/>
              </w:rPr>
              <w:t>Pink eller rødt plasma, slanger eller filter bliver mørk, rødfarvet urin efter tapning</w:t>
            </w:r>
          </w:p>
        </w:tc>
      </w:tr>
      <w:tr w:rsidR="0040743C" w:rsidRPr="007B5A0A" w14:paraId="3DDDEA08" w14:textId="77777777" w:rsidTr="00797E98">
        <w:tc>
          <w:tcPr>
            <w:tcW w:w="817" w:type="dxa"/>
            <w:tcBorders>
              <w:top w:val="single" w:sz="12" w:space="0" w:color="auto"/>
              <w:left w:val="single" w:sz="12" w:space="0" w:color="auto"/>
            </w:tcBorders>
          </w:tcPr>
          <w:p w14:paraId="5744B35A" w14:textId="77777777" w:rsidR="0040743C" w:rsidRPr="007B5A0A" w:rsidRDefault="0040743C" w:rsidP="0040743C">
            <w:pPr>
              <w:spacing w:after="160" w:line="259" w:lineRule="auto"/>
              <w:rPr>
                <w:sz w:val="18"/>
                <w:szCs w:val="18"/>
              </w:rPr>
            </w:pPr>
          </w:p>
        </w:tc>
        <w:tc>
          <w:tcPr>
            <w:tcW w:w="1709" w:type="dxa"/>
            <w:tcBorders>
              <w:top w:val="single" w:sz="12" w:space="0" w:color="auto"/>
            </w:tcBorders>
          </w:tcPr>
          <w:p w14:paraId="25ED29AF" w14:textId="77777777" w:rsidR="0040743C" w:rsidRPr="007B5A0A" w:rsidRDefault="0040743C" w:rsidP="0040743C">
            <w:pPr>
              <w:spacing w:after="160" w:line="259" w:lineRule="auto"/>
              <w:rPr>
                <w:sz w:val="18"/>
                <w:szCs w:val="18"/>
              </w:rPr>
            </w:pPr>
            <w:r w:rsidRPr="007B5A0A">
              <w:rPr>
                <w:sz w:val="18"/>
                <w:szCs w:val="18"/>
              </w:rPr>
              <w:t>Allergisk reaktion</w:t>
            </w:r>
          </w:p>
        </w:tc>
        <w:tc>
          <w:tcPr>
            <w:tcW w:w="2262" w:type="dxa"/>
            <w:tcBorders>
              <w:top w:val="single" w:sz="12" w:space="0" w:color="auto"/>
            </w:tcBorders>
          </w:tcPr>
          <w:p w14:paraId="1664F891" w14:textId="77777777" w:rsidR="0040743C" w:rsidRPr="007B5A0A" w:rsidRDefault="0040743C" w:rsidP="0040743C">
            <w:pPr>
              <w:spacing w:after="160" w:line="259" w:lineRule="auto"/>
              <w:rPr>
                <w:sz w:val="18"/>
                <w:szCs w:val="18"/>
              </w:rPr>
            </w:pPr>
          </w:p>
        </w:tc>
        <w:tc>
          <w:tcPr>
            <w:tcW w:w="4695" w:type="dxa"/>
            <w:tcBorders>
              <w:top w:val="single" w:sz="12" w:space="0" w:color="auto"/>
              <w:right w:val="single" w:sz="12" w:space="0" w:color="auto"/>
            </w:tcBorders>
          </w:tcPr>
          <w:p w14:paraId="3AA0976C" w14:textId="77777777" w:rsidR="0040743C" w:rsidRPr="007B5A0A" w:rsidRDefault="0040743C" w:rsidP="0040743C">
            <w:pPr>
              <w:spacing w:after="160" w:line="259" w:lineRule="auto"/>
              <w:rPr>
                <w:sz w:val="18"/>
                <w:szCs w:val="18"/>
              </w:rPr>
            </w:pPr>
          </w:p>
        </w:tc>
      </w:tr>
      <w:tr w:rsidR="0040743C" w:rsidRPr="007B5A0A" w14:paraId="065F5004" w14:textId="77777777" w:rsidTr="00797E98">
        <w:tc>
          <w:tcPr>
            <w:tcW w:w="817" w:type="dxa"/>
            <w:tcBorders>
              <w:left w:val="single" w:sz="12" w:space="0" w:color="auto"/>
            </w:tcBorders>
          </w:tcPr>
          <w:p w14:paraId="05680456" w14:textId="77777777" w:rsidR="0040743C" w:rsidRPr="007B5A0A" w:rsidRDefault="0040743C" w:rsidP="0040743C">
            <w:pPr>
              <w:spacing w:after="160" w:line="259" w:lineRule="auto"/>
              <w:rPr>
                <w:sz w:val="18"/>
                <w:szCs w:val="18"/>
              </w:rPr>
            </w:pPr>
            <w:r w:rsidRPr="007B5A0A">
              <w:rPr>
                <w:sz w:val="18"/>
                <w:szCs w:val="18"/>
              </w:rPr>
              <w:t>T</w:t>
            </w:r>
          </w:p>
          <w:p w14:paraId="027AF90A" w14:textId="77777777" w:rsidR="0040743C" w:rsidRPr="007B5A0A" w:rsidRDefault="0040743C" w:rsidP="0040743C">
            <w:pPr>
              <w:spacing w:after="160" w:line="259" w:lineRule="auto"/>
              <w:rPr>
                <w:sz w:val="18"/>
                <w:szCs w:val="18"/>
              </w:rPr>
            </w:pPr>
          </w:p>
        </w:tc>
        <w:tc>
          <w:tcPr>
            <w:tcW w:w="1709" w:type="dxa"/>
          </w:tcPr>
          <w:p w14:paraId="0DB83127" w14:textId="77777777" w:rsidR="0040743C" w:rsidRPr="007B5A0A" w:rsidRDefault="0040743C" w:rsidP="0040743C">
            <w:pPr>
              <w:spacing w:after="160" w:line="259" w:lineRule="auto"/>
              <w:rPr>
                <w:sz w:val="18"/>
                <w:szCs w:val="18"/>
              </w:rPr>
            </w:pPr>
          </w:p>
        </w:tc>
        <w:tc>
          <w:tcPr>
            <w:tcW w:w="2262" w:type="dxa"/>
          </w:tcPr>
          <w:p w14:paraId="6E425857" w14:textId="77777777" w:rsidR="0040743C" w:rsidRPr="007B5A0A" w:rsidRDefault="0040743C" w:rsidP="0040743C">
            <w:pPr>
              <w:spacing w:after="160" w:line="259" w:lineRule="auto"/>
              <w:rPr>
                <w:sz w:val="18"/>
                <w:szCs w:val="18"/>
              </w:rPr>
            </w:pPr>
            <w:r w:rsidRPr="007B5A0A">
              <w:rPr>
                <w:sz w:val="18"/>
                <w:szCs w:val="18"/>
              </w:rPr>
              <w:t>Lokal reaktion</w:t>
            </w:r>
          </w:p>
        </w:tc>
        <w:tc>
          <w:tcPr>
            <w:tcW w:w="4695" w:type="dxa"/>
            <w:tcBorders>
              <w:right w:val="single" w:sz="12" w:space="0" w:color="auto"/>
            </w:tcBorders>
          </w:tcPr>
          <w:p w14:paraId="02440422" w14:textId="77777777" w:rsidR="0040743C" w:rsidRPr="007B5A0A" w:rsidRDefault="0040743C" w:rsidP="0040743C">
            <w:pPr>
              <w:spacing w:after="160" w:line="259" w:lineRule="auto"/>
              <w:rPr>
                <w:sz w:val="18"/>
                <w:szCs w:val="18"/>
              </w:rPr>
            </w:pPr>
            <w:r w:rsidRPr="007B5A0A">
              <w:rPr>
                <w:sz w:val="18"/>
                <w:szCs w:val="18"/>
              </w:rPr>
              <w:t>Kløe og rødme ved indstikssted og/eller, desinfektionsområde, kvadler eller andet udslæt, opstår under eller kort tid efter tapning.</w:t>
            </w:r>
          </w:p>
        </w:tc>
      </w:tr>
      <w:tr w:rsidR="0040743C" w:rsidRPr="007B5A0A" w14:paraId="3B3D8FA5" w14:textId="77777777" w:rsidTr="00797E98">
        <w:tc>
          <w:tcPr>
            <w:tcW w:w="817" w:type="dxa"/>
            <w:tcBorders>
              <w:left w:val="single" w:sz="12" w:space="0" w:color="auto"/>
              <w:bottom w:val="single" w:sz="12" w:space="0" w:color="auto"/>
            </w:tcBorders>
          </w:tcPr>
          <w:p w14:paraId="118D5DC2" w14:textId="77777777" w:rsidR="0040743C" w:rsidRPr="007B5A0A" w:rsidRDefault="0040743C" w:rsidP="0040743C">
            <w:pPr>
              <w:spacing w:after="160" w:line="259" w:lineRule="auto"/>
              <w:rPr>
                <w:sz w:val="18"/>
                <w:szCs w:val="18"/>
              </w:rPr>
            </w:pPr>
            <w:r w:rsidRPr="007B5A0A">
              <w:rPr>
                <w:sz w:val="18"/>
                <w:szCs w:val="18"/>
              </w:rPr>
              <w:t>U</w:t>
            </w:r>
          </w:p>
        </w:tc>
        <w:tc>
          <w:tcPr>
            <w:tcW w:w="1709" w:type="dxa"/>
            <w:tcBorders>
              <w:bottom w:val="single" w:sz="12" w:space="0" w:color="auto"/>
            </w:tcBorders>
          </w:tcPr>
          <w:p w14:paraId="3778E2DD" w14:textId="77777777" w:rsidR="0040743C" w:rsidRPr="007B5A0A" w:rsidRDefault="0040743C" w:rsidP="0040743C">
            <w:pPr>
              <w:spacing w:after="160" w:line="259" w:lineRule="auto"/>
              <w:rPr>
                <w:sz w:val="18"/>
                <w:szCs w:val="18"/>
              </w:rPr>
            </w:pPr>
          </w:p>
        </w:tc>
        <w:tc>
          <w:tcPr>
            <w:tcW w:w="2262" w:type="dxa"/>
            <w:tcBorders>
              <w:bottom w:val="single" w:sz="12" w:space="0" w:color="auto"/>
            </w:tcBorders>
          </w:tcPr>
          <w:p w14:paraId="33A3F9B3" w14:textId="77777777" w:rsidR="0040743C" w:rsidRPr="007B5A0A" w:rsidRDefault="0040743C" w:rsidP="0040743C">
            <w:pPr>
              <w:spacing w:after="160" w:line="259" w:lineRule="auto"/>
              <w:rPr>
                <w:sz w:val="18"/>
                <w:szCs w:val="18"/>
              </w:rPr>
            </w:pPr>
            <w:proofErr w:type="spellStart"/>
            <w:r w:rsidRPr="007B5A0A">
              <w:rPr>
                <w:sz w:val="18"/>
                <w:szCs w:val="18"/>
              </w:rPr>
              <w:t>Anafylaktisk</w:t>
            </w:r>
            <w:proofErr w:type="spellEnd"/>
            <w:r w:rsidRPr="007B5A0A">
              <w:rPr>
                <w:sz w:val="18"/>
                <w:szCs w:val="18"/>
              </w:rPr>
              <w:t xml:space="preserve"> reaktion</w:t>
            </w:r>
          </w:p>
        </w:tc>
        <w:tc>
          <w:tcPr>
            <w:tcW w:w="4695" w:type="dxa"/>
            <w:tcBorders>
              <w:bottom w:val="single" w:sz="12" w:space="0" w:color="auto"/>
              <w:right w:val="single" w:sz="12" w:space="0" w:color="auto"/>
            </w:tcBorders>
          </w:tcPr>
          <w:p w14:paraId="34AF1175" w14:textId="77777777" w:rsidR="0040743C" w:rsidRPr="007B5A0A" w:rsidRDefault="0040743C" w:rsidP="0040743C">
            <w:pPr>
              <w:spacing w:after="160" w:line="259" w:lineRule="auto"/>
              <w:rPr>
                <w:sz w:val="18"/>
                <w:szCs w:val="18"/>
              </w:rPr>
            </w:pPr>
          </w:p>
        </w:tc>
      </w:tr>
      <w:tr w:rsidR="0040743C" w:rsidRPr="007B5A0A" w14:paraId="7E588874" w14:textId="77777777" w:rsidTr="00797E98">
        <w:tc>
          <w:tcPr>
            <w:tcW w:w="817" w:type="dxa"/>
            <w:tcBorders>
              <w:top w:val="single" w:sz="12" w:space="0" w:color="auto"/>
              <w:left w:val="single" w:sz="12" w:space="0" w:color="auto"/>
            </w:tcBorders>
          </w:tcPr>
          <w:p w14:paraId="43BC7420" w14:textId="77777777" w:rsidR="0040743C" w:rsidRPr="007B5A0A" w:rsidRDefault="0040743C" w:rsidP="0040743C">
            <w:pPr>
              <w:spacing w:after="160" w:line="259" w:lineRule="auto"/>
              <w:rPr>
                <w:sz w:val="18"/>
                <w:szCs w:val="18"/>
              </w:rPr>
            </w:pPr>
          </w:p>
        </w:tc>
        <w:tc>
          <w:tcPr>
            <w:tcW w:w="1709" w:type="dxa"/>
            <w:tcBorders>
              <w:top w:val="single" w:sz="12" w:space="0" w:color="auto"/>
            </w:tcBorders>
          </w:tcPr>
          <w:p w14:paraId="69170921" w14:textId="77777777" w:rsidR="0040743C" w:rsidRPr="007B5A0A" w:rsidRDefault="0040743C" w:rsidP="0040743C">
            <w:pPr>
              <w:spacing w:after="160" w:line="259" w:lineRule="auto"/>
              <w:rPr>
                <w:sz w:val="18"/>
                <w:szCs w:val="18"/>
              </w:rPr>
            </w:pPr>
            <w:r w:rsidRPr="007B5A0A">
              <w:rPr>
                <w:sz w:val="18"/>
                <w:szCs w:val="18"/>
              </w:rPr>
              <w:t>Anden, sjælden bivirkning</w:t>
            </w:r>
          </w:p>
        </w:tc>
        <w:tc>
          <w:tcPr>
            <w:tcW w:w="2262" w:type="dxa"/>
            <w:tcBorders>
              <w:top w:val="single" w:sz="12" w:space="0" w:color="auto"/>
            </w:tcBorders>
          </w:tcPr>
          <w:p w14:paraId="33C61B05" w14:textId="77777777" w:rsidR="0040743C" w:rsidRPr="007B5A0A" w:rsidRDefault="0040743C" w:rsidP="0040743C">
            <w:pPr>
              <w:spacing w:after="160" w:line="259" w:lineRule="auto"/>
              <w:rPr>
                <w:sz w:val="18"/>
                <w:szCs w:val="18"/>
              </w:rPr>
            </w:pPr>
          </w:p>
        </w:tc>
        <w:tc>
          <w:tcPr>
            <w:tcW w:w="4695" w:type="dxa"/>
            <w:tcBorders>
              <w:top w:val="single" w:sz="12" w:space="0" w:color="auto"/>
              <w:right w:val="single" w:sz="12" w:space="0" w:color="auto"/>
            </w:tcBorders>
          </w:tcPr>
          <w:p w14:paraId="52075519" w14:textId="77777777" w:rsidR="0040743C" w:rsidRPr="007B5A0A" w:rsidRDefault="0040743C" w:rsidP="0040743C">
            <w:pPr>
              <w:spacing w:after="160" w:line="259" w:lineRule="auto"/>
              <w:rPr>
                <w:sz w:val="18"/>
                <w:szCs w:val="18"/>
              </w:rPr>
            </w:pPr>
            <w:r w:rsidRPr="007B5A0A">
              <w:rPr>
                <w:sz w:val="18"/>
                <w:szCs w:val="18"/>
              </w:rPr>
              <w:t xml:space="preserve">Hjertesymptomer, </w:t>
            </w:r>
            <w:proofErr w:type="spellStart"/>
            <w:r w:rsidRPr="007B5A0A">
              <w:rPr>
                <w:sz w:val="18"/>
                <w:szCs w:val="18"/>
              </w:rPr>
              <w:t>cerebrovaskulær</w:t>
            </w:r>
            <w:proofErr w:type="spellEnd"/>
            <w:r w:rsidRPr="007B5A0A">
              <w:rPr>
                <w:sz w:val="18"/>
                <w:szCs w:val="18"/>
              </w:rPr>
              <w:t xml:space="preserve"> event, fraktur, involvering i ulykker.</w:t>
            </w:r>
          </w:p>
        </w:tc>
      </w:tr>
      <w:tr w:rsidR="0040743C" w:rsidRPr="007B5A0A" w14:paraId="6F6C01E8" w14:textId="77777777" w:rsidTr="00797E98">
        <w:tc>
          <w:tcPr>
            <w:tcW w:w="817" w:type="dxa"/>
            <w:tcBorders>
              <w:left w:val="single" w:sz="12" w:space="0" w:color="auto"/>
              <w:bottom w:val="single" w:sz="12" w:space="0" w:color="auto"/>
            </w:tcBorders>
          </w:tcPr>
          <w:p w14:paraId="2577CB52" w14:textId="77777777" w:rsidR="0040743C" w:rsidRPr="007B5A0A" w:rsidRDefault="0040743C" w:rsidP="0040743C">
            <w:pPr>
              <w:spacing w:after="160" w:line="259" w:lineRule="auto"/>
              <w:rPr>
                <w:sz w:val="18"/>
                <w:szCs w:val="18"/>
              </w:rPr>
            </w:pPr>
            <w:r w:rsidRPr="007B5A0A">
              <w:rPr>
                <w:sz w:val="18"/>
                <w:szCs w:val="18"/>
              </w:rPr>
              <w:t>Z</w:t>
            </w:r>
          </w:p>
        </w:tc>
        <w:tc>
          <w:tcPr>
            <w:tcW w:w="1709" w:type="dxa"/>
            <w:tcBorders>
              <w:bottom w:val="single" w:sz="12" w:space="0" w:color="auto"/>
            </w:tcBorders>
          </w:tcPr>
          <w:p w14:paraId="7A80C48B" w14:textId="77777777" w:rsidR="0040743C" w:rsidRPr="007B5A0A" w:rsidRDefault="0040743C" w:rsidP="0040743C">
            <w:pPr>
              <w:spacing w:after="160" w:line="259" w:lineRule="auto"/>
              <w:rPr>
                <w:sz w:val="18"/>
                <w:szCs w:val="18"/>
              </w:rPr>
            </w:pPr>
          </w:p>
        </w:tc>
        <w:tc>
          <w:tcPr>
            <w:tcW w:w="2262" w:type="dxa"/>
            <w:tcBorders>
              <w:bottom w:val="single" w:sz="12" w:space="0" w:color="auto"/>
            </w:tcBorders>
          </w:tcPr>
          <w:p w14:paraId="3901021B" w14:textId="77777777" w:rsidR="0040743C" w:rsidRPr="007B5A0A" w:rsidRDefault="0040743C" w:rsidP="0040743C">
            <w:pPr>
              <w:spacing w:after="160" w:line="259" w:lineRule="auto"/>
              <w:rPr>
                <w:sz w:val="18"/>
                <w:szCs w:val="18"/>
              </w:rPr>
            </w:pPr>
            <w:r w:rsidRPr="007B5A0A">
              <w:rPr>
                <w:sz w:val="18"/>
                <w:szCs w:val="18"/>
              </w:rPr>
              <w:t>Sjælden bivirkning</w:t>
            </w:r>
          </w:p>
        </w:tc>
        <w:tc>
          <w:tcPr>
            <w:tcW w:w="4695" w:type="dxa"/>
            <w:tcBorders>
              <w:bottom w:val="single" w:sz="12" w:space="0" w:color="auto"/>
              <w:right w:val="single" w:sz="12" w:space="0" w:color="auto"/>
            </w:tcBorders>
          </w:tcPr>
          <w:p w14:paraId="76BA9827" w14:textId="77777777" w:rsidR="0040743C" w:rsidRPr="007B5A0A" w:rsidRDefault="0040743C" w:rsidP="0040743C">
            <w:pPr>
              <w:spacing w:after="160" w:line="259" w:lineRule="auto"/>
              <w:rPr>
                <w:sz w:val="18"/>
                <w:szCs w:val="18"/>
              </w:rPr>
            </w:pPr>
          </w:p>
        </w:tc>
      </w:tr>
    </w:tbl>
    <w:p w14:paraId="2C3903FB" w14:textId="1839C6A3" w:rsidR="007B5A0A" w:rsidRDefault="007B5A0A" w:rsidP="007B5A0A">
      <w:r w:rsidRPr="007B5A0A">
        <w:t>*koden anvendes som første tegn i koderegistreringen</w:t>
      </w:r>
    </w:p>
    <w:p w14:paraId="61F6E213" w14:textId="77777777" w:rsidR="001034BA" w:rsidRDefault="001034BA" w:rsidP="007B5A0A">
      <w:pPr>
        <w:rPr>
          <w:bCs/>
        </w:rPr>
      </w:pPr>
    </w:p>
    <w:p w14:paraId="4F1BC29F" w14:textId="3BC0C38C" w:rsidR="00267B0B" w:rsidRDefault="006E5952" w:rsidP="007B5A0A">
      <w:pPr>
        <w:rPr>
          <w:bCs/>
        </w:rPr>
      </w:pPr>
      <w:r>
        <w:rPr>
          <w:bCs/>
        </w:rPr>
        <w:t>Tabel 2 Sværhedsgrad ved bivirkning</w:t>
      </w:r>
      <w:r w:rsidR="0026560C">
        <w:rPr>
          <w:rStyle w:val="Fodnotehenvisning"/>
          <w:bCs/>
        </w:rPr>
        <w:footnoteReference w:id="21"/>
      </w:r>
      <w:r w:rsidR="007F2C23">
        <w:rPr>
          <w:bCs/>
        </w:rPr>
        <w:br/>
      </w:r>
      <w:r w:rsidR="007F2C23" w:rsidRPr="0040743C">
        <w:rPr>
          <w:sz w:val="16"/>
          <w:szCs w:val="16"/>
        </w:rPr>
        <w:t xml:space="preserve">Koder anvendt til registrering i </w:t>
      </w:r>
      <w:proofErr w:type="spellStart"/>
      <w:r w:rsidR="007F2C23" w:rsidRPr="0040743C">
        <w:rPr>
          <w:sz w:val="16"/>
          <w:szCs w:val="16"/>
        </w:rPr>
        <w:t>Blödflödet</w:t>
      </w:r>
      <w:proofErr w:type="spellEnd"/>
      <w:r w:rsidR="007F2C23" w:rsidRPr="0040743C">
        <w:rPr>
          <w:sz w:val="16"/>
          <w:szCs w:val="16"/>
        </w:rPr>
        <w:t>, se version 1.2</w:t>
      </w:r>
    </w:p>
    <w:tbl>
      <w:tblPr>
        <w:tblStyle w:val="Tabel-Gitter"/>
        <w:tblW w:w="9923" w:type="dxa"/>
        <w:tblInd w:w="-157" w:type="dxa"/>
        <w:tblLayout w:type="fixed"/>
        <w:tblLook w:val="04A0" w:firstRow="1" w:lastRow="0" w:firstColumn="1" w:lastColumn="0" w:noHBand="0" w:noVBand="1"/>
      </w:tblPr>
      <w:tblGrid>
        <w:gridCol w:w="1135"/>
        <w:gridCol w:w="1417"/>
        <w:gridCol w:w="7371"/>
      </w:tblGrid>
      <w:tr w:rsidR="006E5952" w:rsidRPr="007B5A0A" w14:paraId="41CA9F15" w14:textId="77777777" w:rsidTr="007F2C23">
        <w:trPr>
          <w:trHeight w:val="418"/>
        </w:trPr>
        <w:tc>
          <w:tcPr>
            <w:tcW w:w="9923" w:type="dxa"/>
            <w:gridSpan w:val="3"/>
            <w:tcBorders>
              <w:top w:val="single" w:sz="12" w:space="0" w:color="auto"/>
              <w:left w:val="single" w:sz="12" w:space="0" w:color="auto"/>
              <w:right w:val="single" w:sz="12" w:space="0" w:color="auto"/>
            </w:tcBorders>
            <w:shd w:val="clear" w:color="auto" w:fill="F2F2F2" w:themeFill="background1" w:themeFillShade="F2"/>
          </w:tcPr>
          <w:p w14:paraId="2E49017B" w14:textId="77777777" w:rsidR="006E5952" w:rsidRPr="007B5A0A" w:rsidRDefault="006E5952" w:rsidP="009A1294">
            <w:pPr>
              <w:spacing w:after="160" w:line="259" w:lineRule="auto"/>
              <w:rPr>
                <w:b/>
                <w:bCs/>
                <w:sz w:val="18"/>
                <w:szCs w:val="18"/>
              </w:rPr>
            </w:pPr>
            <w:r w:rsidRPr="007B5A0A">
              <w:rPr>
                <w:b/>
                <w:bCs/>
                <w:sz w:val="18"/>
                <w:szCs w:val="18"/>
              </w:rPr>
              <w:t>Sværhedsgrad af bivirkning</w:t>
            </w:r>
          </w:p>
        </w:tc>
      </w:tr>
      <w:tr w:rsidR="007F2C23" w:rsidRPr="007B5A0A" w14:paraId="1D9A2F9D" w14:textId="77777777" w:rsidTr="007F2C23">
        <w:trPr>
          <w:trHeight w:val="1201"/>
        </w:trPr>
        <w:tc>
          <w:tcPr>
            <w:tcW w:w="1135" w:type="dxa"/>
            <w:tcBorders>
              <w:left w:val="single" w:sz="12" w:space="0" w:color="auto"/>
            </w:tcBorders>
            <w:shd w:val="clear" w:color="auto" w:fill="F2F2F2" w:themeFill="background1" w:themeFillShade="F2"/>
          </w:tcPr>
          <w:p w14:paraId="60C6371B" w14:textId="77777777" w:rsidR="007F2C23" w:rsidRPr="007B5A0A" w:rsidRDefault="007F2C23" w:rsidP="009A1294">
            <w:pPr>
              <w:spacing w:after="160" w:line="259" w:lineRule="auto"/>
              <w:rPr>
                <w:b/>
                <w:sz w:val="18"/>
                <w:szCs w:val="18"/>
              </w:rPr>
            </w:pPr>
            <w:r w:rsidRPr="007B5A0A">
              <w:rPr>
                <w:b/>
                <w:sz w:val="18"/>
                <w:szCs w:val="18"/>
              </w:rPr>
              <w:t>Kode</w:t>
            </w:r>
          </w:p>
          <w:p w14:paraId="2F3CE9DD" w14:textId="77777777" w:rsidR="007F2C23" w:rsidRPr="007B5A0A" w:rsidRDefault="007F2C23" w:rsidP="009A1294">
            <w:pPr>
              <w:spacing w:after="160" w:line="259" w:lineRule="auto"/>
              <w:rPr>
                <w:b/>
                <w:sz w:val="18"/>
                <w:szCs w:val="18"/>
              </w:rPr>
            </w:pPr>
            <w:r w:rsidRPr="007B5A0A">
              <w:rPr>
                <w:b/>
                <w:sz w:val="18"/>
                <w:szCs w:val="18"/>
              </w:rPr>
              <w:t>Pro-sang*</w:t>
            </w:r>
          </w:p>
          <w:p w14:paraId="1545B97B" w14:textId="77777777" w:rsidR="007F2C23" w:rsidRPr="007B5A0A" w:rsidRDefault="007F2C23" w:rsidP="009A1294">
            <w:pPr>
              <w:spacing w:after="160" w:line="259" w:lineRule="auto"/>
              <w:rPr>
                <w:b/>
                <w:sz w:val="18"/>
                <w:szCs w:val="18"/>
              </w:rPr>
            </w:pPr>
          </w:p>
        </w:tc>
        <w:tc>
          <w:tcPr>
            <w:tcW w:w="1417" w:type="dxa"/>
            <w:shd w:val="clear" w:color="auto" w:fill="F2F2F2" w:themeFill="background1" w:themeFillShade="F2"/>
          </w:tcPr>
          <w:p w14:paraId="2EE956C9" w14:textId="77777777" w:rsidR="007F2C23" w:rsidRPr="007B5A0A" w:rsidRDefault="007F2C23" w:rsidP="009A1294">
            <w:pPr>
              <w:spacing w:after="160" w:line="259" w:lineRule="auto"/>
              <w:rPr>
                <w:b/>
                <w:sz w:val="18"/>
                <w:szCs w:val="18"/>
              </w:rPr>
            </w:pPr>
            <w:r w:rsidRPr="007B5A0A">
              <w:rPr>
                <w:b/>
                <w:sz w:val="18"/>
                <w:szCs w:val="18"/>
              </w:rPr>
              <w:t>Sværhedsgrad</w:t>
            </w:r>
          </w:p>
        </w:tc>
        <w:tc>
          <w:tcPr>
            <w:tcW w:w="7371" w:type="dxa"/>
            <w:tcBorders>
              <w:right w:val="single" w:sz="12" w:space="0" w:color="auto"/>
            </w:tcBorders>
            <w:shd w:val="clear" w:color="auto" w:fill="F2F2F2" w:themeFill="background1" w:themeFillShade="F2"/>
          </w:tcPr>
          <w:p w14:paraId="48B33236" w14:textId="77777777" w:rsidR="007F2C23" w:rsidRPr="007B5A0A" w:rsidRDefault="007F2C23" w:rsidP="009A1294">
            <w:pPr>
              <w:spacing w:after="160" w:line="259" w:lineRule="auto"/>
              <w:rPr>
                <w:b/>
                <w:sz w:val="18"/>
                <w:szCs w:val="18"/>
              </w:rPr>
            </w:pPr>
            <w:r w:rsidRPr="007B5A0A">
              <w:rPr>
                <w:b/>
                <w:sz w:val="18"/>
                <w:szCs w:val="18"/>
              </w:rPr>
              <w:t>Forklaring</w:t>
            </w:r>
          </w:p>
        </w:tc>
      </w:tr>
      <w:tr w:rsidR="007F2C23" w:rsidRPr="007B5A0A" w14:paraId="2A4E899B" w14:textId="77777777" w:rsidTr="007F2C23">
        <w:tc>
          <w:tcPr>
            <w:tcW w:w="1135" w:type="dxa"/>
            <w:tcBorders>
              <w:left w:val="single" w:sz="12" w:space="0" w:color="auto"/>
            </w:tcBorders>
          </w:tcPr>
          <w:p w14:paraId="393EEDED" w14:textId="77777777" w:rsidR="007F2C23" w:rsidRPr="007B5A0A" w:rsidRDefault="007F2C23" w:rsidP="009A1294">
            <w:pPr>
              <w:spacing w:after="160" w:line="259" w:lineRule="auto"/>
              <w:rPr>
                <w:sz w:val="18"/>
                <w:szCs w:val="18"/>
              </w:rPr>
            </w:pPr>
            <w:r w:rsidRPr="007B5A0A">
              <w:rPr>
                <w:sz w:val="18"/>
                <w:szCs w:val="18"/>
              </w:rPr>
              <w:t>1</w:t>
            </w:r>
          </w:p>
          <w:p w14:paraId="30528D86" w14:textId="7459E1FC" w:rsidR="007F2C23" w:rsidRPr="007B5A0A" w:rsidRDefault="007F2C23" w:rsidP="009A1294">
            <w:pPr>
              <w:spacing w:after="160" w:line="259" w:lineRule="auto"/>
              <w:rPr>
                <w:sz w:val="18"/>
                <w:szCs w:val="18"/>
              </w:rPr>
            </w:pPr>
          </w:p>
        </w:tc>
        <w:tc>
          <w:tcPr>
            <w:tcW w:w="1417" w:type="dxa"/>
          </w:tcPr>
          <w:p w14:paraId="6A0C0FFD" w14:textId="77777777" w:rsidR="007F2C23" w:rsidRPr="007B5A0A" w:rsidRDefault="007F2C23" w:rsidP="009A1294">
            <w:pPr>
              <w:spacing w:after="160" w:line="259" w:lineRule="auto"/>
              <w:rPr>
                <w:sz w:val="18"/>
                <w:szCs w:val="18"/>
              </w:rPr>
            </w:pPr>
            <w:r w:rsidRPr="007B5A0A">
              <w:rPr>
                <w:sz w:val="18"/>
                <w:szCs w:val="18"/>
              </w:rPr>
              <w:t>Grad 1</w:t>
            </w:r>
          </w:p>
        </w:tc>
        <w:tc>
          <w:tcPr>
            <w:tcW w:w="7371" w:type="dxa"/>
            <w:tcBorders>
              <w:right w:val="single" w:sz="12" w:space="0" w:color="auto"/>
            </w:tcBorders>
          </w:tcPr>
          <w:p w14:paraId="6BCE5398" w14:textId="77777777" w:rsidR="007F2C23" w:rsidRPr="007B5A0A" w:rsidRDefault="007F2C23" w:rsidP="009A1294">
            <w:pPr>
              <w:spacing w:after="160" w:line="259" w:lineRule="auto"/>
              <w:rPr>
                <w:sz w:val="18"/>
                <w:szCs w:val="18"/>
              </w:rPr>
            </w:pPr>
            <w:r w:rsidRPr="007B5A0A">
              <w:rPr>
                <w:sz w:val="18"/>
                <w:szCs w:val="18"/>
              </w:rPr>
              <w:t xml:space="preserve">Symptomer, der går over uden behandling eller ved minimal behandling foretaget i blodbanken </w:t>
            </w:r>
            <w:r w:rsidRPr="007B5A0A">
              <w:rPr>
                <w:b/>
                <w:sz w:val="18"/>
                <w:szCs w:val="18"/>
                <w:u w:val="single"/>
              </w:rPr>
              <w:t>og</w:t>
            </w:r>
            <w:r w:rsidRPr="007B5A0A">
              <w:rPr>
                <w:sz w:val="18"/>
                <w:szCs w:val="18"/>
              </w:rPr>
              <w:t xml:space="preserve"> ikke kræver anden behandling </w:t>
            </w:r>
            <w:r w:rsidRPr="007B5A0A">
              <w:rPr>
                <w:b/>
                <w:sz w:val="18"/>
                <w:szCs w:val="18"/>
                <w:u w:val="single"/>
              </w:rPr>
              <w:t>og</w:t>
            </w:r>
            <w:r w:rsidRPr="007B5A0A">
              <w:rPr>
                <w:sz w:val="18"/>
                <w:szCs w:val="18"/>
              </w:rPr>
              <w:t xml:space="preserve"> varer højst 2 uger/forventes at vare højest 2 uger og ikke påvirker donors dagligdag.</w:t>
            </w:r>
          </w:p>
          <w:p w14:paraId="6569E3A1" w14:textId="77777777" w:rsidR="007F2C23" w:rsidRPr="007B5A0A" w:rsidRDefault="007F2C23" w:rsidP="009A1294">
            <w:pPr>
              <w:spacing w:after="160" w:line="259" w:lineRule="auto"/>
              <w:rPr>
                <w:sz w:val="18"/>
                <w:szCs w:val="18"/>
              </w:rPr>
            </w:pPr>
            <w:r w:rsidRPr="007B5A0A">
              <w:rPr>
                <w:sz w:val="18"/>
                <w:szCs w:val="18"/>
              </w:rPr>
              <w:t>Donor skal kontakte blodbanken hvis symptomer varer udover 2 uger, ved behandling/indlæggelse eller påvirkning af dagligdagen.</w:t>
            </w:r>
          </w:p>
        </w:tc>
      </w:tr>
      <w:tr w:rsidR="007F2C23" w:rsidRPr="007B5A0A" w14:paraId="1375AA47" w14:textId="77777777" w:rsidTr="007F2C23">
        <w:tc>
          <w:tcPr>
            <w:tcW w:w="1135" w:type="dxa"/>
            <w:tcBorders>
              <w:left w:val="single" w:sz="12" w:space="0" w:color="auto"/>
            </w:tcBorders>
          </w:tcPr>
          <w:p w14:paraId="632D5A86" w14:textId="77777777" w:rsidR="007F2C23" w:rsidRPr="007B5A0A" w:rsidRDefault="007F2C23" w:rsidP="009A1294">
            <w:pPr>
              <w:spacing w:after="160" w:line="259" w:lineRule="auto"/>
              <w:rPr>
                <w:sz w:val="18"/>
                <w:szCs w:val="18"/>
              </w:rPr>
            </w:pPr>
            <w:r w:rsidRPr="007B5A0A">
              <w:rPr>
                <w:sz w:val="18"/>
                <w:szCs w:val="18"/>
              </w:rPr>
              <w:t>2</w:t>
            </w:r>
          </w:p>
          <w:p w14:paraId="39E09067" w14:textId="373F65A0" w:rsidR="007F2C23" w:rsidRPr="007B5A0A" w:rsidRDefault="007F2C23" w:rsidP="009A1294">
            <w:pPr>
              <w:spacing w:after="160" w:line="259" w:lineRule="auto"/>
              <w:rPr>
                <w:sz w:val="18"/>
                <w:szCs w:val="18"/>
              </w:rPr>
            </w:pPr>
          </w:p>
        </w:tc>
        <w:tc>
          <w:tcPr>
            <w:tcW w:w="1417" w:type="dxa"/>
          </w:tcPr>
          <w:p w14:paraId="771093EF" w14:textId="77777777" w:rsidR="007F2C23" w:rsidRPr="007B5A0A" w:rsidRDefault="007F2C23" w:rsidP="009A1294">
            <w:pPr>
              <w:spacing w:after="160" w:line="259" w:lineRule="auto"/>
              <w:rPr>
                <w:sz w:val="18"/>
                <w:szCs w:val="18"/>
              </w:rPr>
            </w:pPr>
            <w:r w:rsidRPr="007B5A0A">
              <w:rPr>
                <w:sz w:val="18"/>
                <w:szCs w:val="18"/>
              </w:rPr>
              <w:t>Grad 2</w:t>
            </w:r>
          </w:p>
        </w:tc>
        <w:tc>
          <w:tcPr>
            <w:tcW w:w="7371" w:type="dxa"/>
            <w:tcBorders>
              <w:right w:val="single" w:sz="12" w:space="0" w:color="auto"/>
            </w:tcBorders>
          </w:tcPr>
          <w:p w14:paraId="520833D4" w14:textId="77777777" w:rsidR="007F2C23" w:rsidRPr="007B5A0A" w:rsidRDefault="007F2C23" w:rsidP="009A1294">
            <w:pPr>
              <w:spacing w:after="160" w:line="259" w:lineRule="auto"/>
              <w:rPr>
                <w:sz w:val="18"/>
                <w:szCs w:val="18"/>
              </w:rPr>
            </w:pPr>
            <w:r w:rsidRPr="007B5A0A">
              <w:rPr>
                <w:sz w:val="18"/>
                <w:szCs w:val="18"/>
              </w:rPr>
              <w:t xml:space="preserve">Behandling uden for blodbanken uden indlæggelse </w:t>
            </w:r>
            <w:r w:rsidRPr="007B5A0A">
              <w:rPr>
                <w:b/>
                <w:sz w:val="18"/>
                <w:szCs w:val="18"/>
              </w:rPr>
              <w:t>eller</w:t>
            </w:r>
            <w:r w:rsidRPr="007B5A0A">
              <w:rPr>
                <w:sz w:val="18"/>
                <w:szCs w:val="18"/>
              </w:rPr>
              <w:t xml:space="preserve"> symptomvarighed over 2 uger men under 6 måneder </w:t>
            </w:r>
            <w:r w:rsidRPr="007B5A0A">
              <w:rPr>
                <w:b/>
                <w:sz w:val="18"/>
                <w:szCs w:val="18"/>
              </w:rPr>
              <w:t>eller</w:t>
            </w:r>
            <w:r w:rsidRPr="007B5A0A">
              <w:rPr>
                <w:sz w:val="18"/>
                <w:szCs w:val="18"/>
              </w:rPr>
              <w:t xml:space="preserve"> begrænsninger i donors dagligdag.</w:t>
            </w:r>
          </w:p>
          <w:p w14:paraId="207A6B5E" w14:textId="77777777" w:rsidR="007F2C23" w:rsidRPr="007B5A0A" w:rsidRDefault="007F2C23" w:rsidP="009A1294">
            <w:pPr>
              <w:spacing w:after="160" w:line="259" w:lineRule="auto"/>
              <w:rPr>
                <w:sz w:val="18"/>
                <w:szCs w:val="18"/>
              </w:rPr>
            </w:pPr>
            <w:r w:rsidRPr="007B5A0A">
              <w:rPr>
                <w:i/>
                <w:sz w:val="18"/>
                <w:szCs w:val="18"/>
              </w:rPr>
              <w:t xml:space="preserve">Behandling uden for blodbanken uden indlæggelse: </w:t>
            </w:r>
            <w:r w:rsidRPr="007B5A0A">
              <w:rPr>
                <w:sz w:val="18"/>
                <w:szCs w:val="18"/>
              </w:rPr>
              <w:t>Fx undersøgelse/behandling hos egen læge, fysioterapeut mv. Eller at blive tilset/observeret/behandlet af sundhedsperson i skadestue/akut modtagelse</w:t>
            </w:r>
          </w:p>
        </w:tc>
      </w:tr>
      <w:tr w:rsidR="007F2C23" w:rsidRPr="007B5A0A" w14:paraId="24F93ED7" w14:textId="77777777" w:rsidTr="007F2C23">
        <w:tc>
          <w:tcPr>
            <w:tcW w:w="1135" w:type="dxa"/>
            <w:tcBorders>
              <w:left w:val="single" w:sz="12" w:space="0" w:color="auto"/>
            </w:tcBorders>
          </w:tcPr>
          <w:p w14:paraId="5DCFADF7" w14:textId="77777777" w:rsidR="007F2C23" w:rsidRPr="007B5A0A" w:rsidRDefault="007F2C23" w:rsidP="009A1294">
            <w:pPr>
              <w:spacing w:after="160" w:line="259" w:lineRule="auto"/>
              <w:rPr>
                <w:sz w:val="18"/>
                <w:szCs w:val="18"/>
              </w:rPr>
            </w:pPr>
            <w:r w:rsidRPr="007B5A0A">
              <w:rPr>
                <w:sz w:val="18"/>
                <w:szCs w:val="18"/>
              </w:rPr>
              <w:t>3</w:t>
            </w:r>
          </w:p>
          <w:p w14:paraId="64212C17" w14:textId="162A8651" w:rsidR="007F2C23" w:rsidRPr="007B5A0A" w:rsidRDefault="007F2C23" w:rsidP="009A1294">
            <w:pPr>
              <w:spacing w:after="160" w:line="259" w:lineRule="auto"/>
              <w:rPr>
                <w:sz w:val="18"/>
                <w:szCs w:val="18"/>
              </w:rPr>
            </w:pPr>
          </w:p>
        </w:tc>
        <w:tc>
          <w:tcPr>
            <w:tcW w:w="1417" w:type="dxa"/>
          </w:tcPr>
          <w:p w14:paraId="67A56B2F" w14:textId="77777777" w:rsidR="007F2C23" w:rsidRPr="007B5A0A" w:rsidRDefault="007F2C23" w:rsidP="009A1294">
            <w:pPr>
              <w:spacing w:after="160" w:line="259" w:lineRule="auto"/>
              <w:rPr>
                <w:sz w:val="18"/>
                <w:szCs w:val="18"/>
              </w:rPr>
            </w:pPr>
            <w:r w:rsidRPr="007B5A0A">
              <w:rPr>
                <w:sz w:val="18"/>
                <w:szCs w:val="18"/>
              </w:rPr>
              <w:t>Grad 3</w:t>
            </w:r>
          </w:p>
        </w:tc>
        <w:tc>
          <w:tcPr>
            <w:tcW w:w="7371" w:type="dxa"/>
            <w:tcBorders>
              <w:right w:val="single" w:sz="12" w:space="0" w:color="auto"/>
            </w:tcBorders>
          </w:tcPr>
          <w:p w14:paraId="500DDB71" w14:textId="77777777" w:rsidR="007F2C23" w:rsidRPr="007B5A0A" w:rsidRDefault="007F2C23" w:rsidP="009A1294">
            <w:pPr>
              <w:spacing w:after="160" w:line="259" w:lineRule="auto"/>
              <w:rPr>
                <w:sz w:val="18"/>
                <w:szCs w:val="18"/>
              </w:rPr>
            </w:pPr>
            <w:r w:rsidRPr="007B5A0A">
              <w:rPr>
                <w:sz w:val="18"/>
                <w:szCs w:val="18"/>
              </w:rPr>
              <w:t xml:space="preserve">Har medført indlæggelse </w:t>
            </w:r>
            <w:r w:rsidRPr="007B5A0A">
              <w:rPr>
                <w:b/>
                <w:sz w:val="18"/>
                <w:szCs w:val="18"/>
              </w:rPr>
              <w:t>eller</w:t>
            </w:r>
            <w:r w:rsidRPr="007B5A0A">
              <w:rPr>
                <w:sz w:val="18"/>
                <w:szCs w:val="18"/>
              </w:rPr>
              <w:t xml:space="preserve"> symptomvarighed over 6 måneder </w:t>
            </w:r>
            <w:r w:rsidRPr="007B5A0A">
              <w:rPr>
                <w:b/>
                <w:sz w:val="18"/>
                <w:szCs w:val="18"/>
              </w:rPr>
              <w:t xml:space="preserve">eller </w:t>
            </w:r>
            <w:r w:rsidRPr="007B5A0A">
              <w:rPr>
                <w:sz w:val="18"/>
                <w:szCs w:val="18"/>
              </w:rPr>
              <w:t xml:space="preserve">begrænsning af donors dagligdag i mere end 2 uger </w:t>
            </w:r>
            <w:r w:rsidRPr="007B5A0A">
              <w:rPr>
                <w:b/>
                <w:sz w:val="18"/>
                <w:szCs w:val="18"/>
              </w:rPr>
              <w:t>eller</w:t>
            </w:r>
            <w:r w:rsidRPr="007B5A0A">
              <w:rPr>
                <w:sz w:val="18"/>
                <w:szCs w:val="18"/>
              </w:rPr>
              <w:t xml:space="preserve"> operation uanset art.</w:t>
            </w:r>
          </w:p>
          <w:p w14:paraId="5A3B0344" w14:textId="77777777" w:rsidR="007F2C23" w:rsidRPr="007B5A0A" w:rsidRDefault="007F2C23" w:rsidP="009A1294">
            <w:pPr>
              <w:spacing w:after="160" w:line="259" w:lineRule="auto"/>
              <w:rPr>
                <w:sz w:val="18"/>
                <w:szCs w:val="18"/>
              </w:rPr>
            </w:pPr>
            <w:r w:rsidRPr="007B5A0A">
              <w:rPr>
                <w:i/>
                <w:sz w:val="18"/>
                <w:szCs w:val="18"/>
              </w:rPr>
              <w:t xml:space="preserve">Indlæggelse: </w:t>
            </w:r>
            <w:r w:rsidRPr="007B5A0A">
              <w:rPr>
                <w:sz w:val="18"/>
                <w:szCs w:val="18"/>
              </w:rPr>
              <w:t xml:space="preserve">dette inkluderer </w:t>
            </w:r>
            <w:r w:rsidRPr="007B5A0A">
              <w:rPr>
                <w:b/>
                <w:sz w:val="18"/>
                <w:szCs w:val="18"/>
              </w:rPr>
              <w:t>ikke</w:t>
            </w:r>
            <w:r w:rsidRPr="007B5A0A">
              <w:rPr>
                <w:sz w:val="18"/>
                <w:szCs w:val="18"/>
              </w:rPr>
              <w:t xml:space="preserve"> at blive tilset/behandlet i skadestue/akutmodtagelse.</w:t>
            </w:r>
          </w:p>
        </w:tc>
      </w:tr>
      <w:tr w:rsidR="007F2C23" w:rsidRPr="007B5A0A" w14:paraId="384F26FA" w14:textId="77777777" w:rsidTr="007F2C23">
        <w:tc>
          <w:tcPr>
            <w:tcW w:w="1135" w:type="dxa"/>
            <w:tcBorders>
              <w:left w:val="single" w:sz="12" w:space="0" w:color="auto"/>
            </w:tcBorders>
          </w:tcPr>
          <w:p w14:paraId="5521B389" w14:textId="77777777" w:rsidR="007F2C23" w:rsidRPr="007B5A0A" w:rsidRDefault="007F2C23" w:rsidP="009A1294">
            <w:pPr>
              <w:spacing w:after="160" w:line="259" w:lineRule="auto"/>
              <w:rPr>
                <w:sz w:val="18"/>
                <w:szCs w:val="18"/>
              </w:rPr>
            </w:pPr>
            <w:r w:rsidRPr="007B5A0A">
              <w:rPr>
                <w:sz w:val="18"/>
                <w:szCs w:val="18"/>
              </w:rPr>
              <w:t>4</w:t>
            </w:r>
          </w:p>
          <w:p w14:paraId="76743D42" w14:textId="786F8712" w:rsidR="007F2C23" w:rsidRPr="007B5A0A" w:rsidRDefault="007F2C23" w:rsidP="009A1294">
            <w:pPr>
              <w:spacing w:after="160" w:line="259" w:lineRule="auto"/>
              <w:rPr>
                <w:sz w:val="18"/>
                <w:szCs w:val="18"/>
              </w:rPr>
            </w:pPr>
          </w:p>
        </w:tc>
        <w:tc>
          <w:tcPr>
            <w:tcW w:w="1417" w:type="dxa"/>
          </w:tcPr>
          <w:p w14:paraId="645EFA98" w14:textId="77777777" w:rsidR="007F2C23" w:rsidRPr="007B5A0A" w:rsidRDefault="007F2C23" w:rsidP="009A1294">
            <w:pPr>
              <w:spacing w:after="160" w:line="259" w:lineRule="auto"/>
              <w:rPr>
                <w:sz w:val="18"/>
                <w:szCs w:val="18"/>
              </w:rPr>
            </w:pPr>
            <w:r w:rsidRPr="007B5A0A">
              <w:rPr>
                <w:sz w:val="18"/>
                <w:szCs w:val="18"/>
              </w:rPr>
              <w:t>Grad 4</w:t>
            </w:r>
          </w:p>
        </w:tc>
        <w:tc>
          <w:tcPr>
            <w:tcW w:w="7371" w:type="dxa"/>
            <w:tcBorders>
              <w:right w:val="single" w:sz="12" w:space="0" w:color="auto"/>
            </w:tcBorders>
          </w:tcPr>
          <w:p w14:paraId="2AC08F88" w14:textId="77777777" w:rsidR="007F2C23" w:rsidRPr="007B5A0A" w:rsidRDefault="007F2C23" w:rsidP="009A1294">
            <w:pPr>
              <w:spacing w:after="160" w:line="259" w:lineRule="auto"/>
              <w:rPr>
                <w:sz w:val="18"/>
                <w:szCs w:val="18"/>
              </w:rPr>
            </w:pPr>
            <w:r w:rsidRPr="007B5A0A">
              <w:rPr>
                <w:sz w:val="18"/>
                <w:szCs w:val="18"/>
              </w:rPr>
              <w:t>Øjeblikkelig lægehjælp/behandling nødvendig for at undgå død.</w:t>
            </w:r>
          </w:p>
        </w:tc>
      </w:tr>
      <w:tr w:rsidR="007F2C23" w:rsidRPr="007B5A0A" w14:paraId="23B58F47" w14:textId="77777777" w:rsidTr="007F2C23">
        <w:tc>
          <w:tcPr>
            <w:tcW w:w="1135" w:type="dxa"/>
            <w:tcBorders>
              <w:left w:val="single" w:sz="12" w:space="0" w:color="auto"/>
            </w:tcBorders>
          </w:tcPr>
          <w:p w14:paraId="7DB04AD4" w14:textId="77777777" w:rsidR="007F2C23" w:rsidRPr="007B5A0A" w:rsidRDefault="007F2C23" w:rsidP="009A1294">
            <w:pPr>
              <w:spacing w:after="160" w:line="259" w:lineRule="auto"/>
              <w:rPr>
                <w:sz w:val="18"/>
                <w:szCs w:val="18"/>
              </w:rPr>
            </w:pPr>
            <w:r w:rsidRPr="007B5A0A">
              <w:rPr>
                <w:sz w:val="18"/>
                <w:szCs w:val="18"/>
              </w:rPr>
              <w:t>5</w:t>
            </w:r>
          </w:p>
          <w:p w14:paraId="74773FF1" w14:textId="699DBFD6" w:rsidR="007F2C23" w:rsidRPr="007B5A0A" w:rsidRDefault="007F2C23" w:rsidP="009A1294">
            <w:pPr>
              <w:spacing w:after="160" w:line="259" w:lineRule="auto"/>
              <w:rPr>
                <w:sz w:val="18"/>
                <w:szCs w:val="18"/>
              </w:rPr>
            </w:pPr>
          </w:p>
        </w:tc>
        <w:tc>
          <w:tcPr>
            <w:tcW w:w="1417" w:type="dxa"/>
          </w:tcPr>
          <w:p w14:paraId="1DDCF72A" w14:textId="77777777" w:rsidR="007F2C23" w:rsidRPr="007B5A0A" w:rsidRDefault="007F2C23" w:rsidP="009A1294">
            <w:pPr>
              <w:spacing w:after="160" w:line="259" w:lineRule="auto"/>
              <w:rPr>
                <w:sz w:val="18"/>
                <w:szCs w:val="18"/>
              </w:rPr>
            </w:pPr>
            <w:r w:rsidRPr="007B5A0A">
              <w:rPr>
                <w:sz w:val="18"/>
                <w:szCs w:val="18"/>
              </w:rPr>
              <w:t>Grad 5</w:t>
            </w:r>
          </w:p>
        </w:tc>
        <w:tc>
          <w:tcPr>
            <w:tcW w:w="7371" w:type="dxa"/>
            <w:tcBorders>
              <w:right w:val="single" w:sz="12" w:space="0" w:color="auto"/>
            </w:tcBorders>
          </w:tcPr>
          <w:p w14:paraId="4102CE6A" w14:textId="77777777" w:rsidR="007F2C23" w:rsidRPr="007B5A0A" w:rsidRDefault="007F2C23" w:rsidP="009A1294">
            <w:pPr>
              <w:spacing w:after="160" w:line="259" w:lineRule="auto"/>
              <w:rPr>
                <w:sz w:val="18"/>
                <w:szCs w:val="18"/>
              </w:rPr>
            </w:pPr>
            <w:r w:rsidRPr="007B5A0A">
              <w:rPr>
                <w:sz w:val="18"/>
                <w:szCs w:val="18"/>
              </w:rPr>
              <w:t>Død.</w:t>
            </w:r>
          </w:p>
        </w:tc>
      </w:tr>
      <w:tr w:rsidR="006E5952" w:rsidRPr="007B5A0A" w14:paraId="15501A3B" w14:textId="77777777" w:rsidTr="007F2C23">
        <w:tc>
          <w:tcPr>
            <w:tcW w:w="1135" w:type="dxa"/>
            <w:tcBorders>
              <w:left w:val="single" w:sz="12" w:space="0" w:color="auto"/>
            </w:tcBorders>
            <w:shd w:val="clear" w:color="auto" w:fill="F2F2F2" w:themeFill="background1" w:themeFillShade="F2"/>
          </w:tcPr>
          <w:p w14:paraId="0746574F" w14:textId="77777777" w:rsidR="006E5952" w:rsidRPr="007B5A0A" w:rsidRDefault="006E5952" w:rsidP="009A1294">
            <w:pPr>
              <w:spacing w:after="160" w:line="259" w:lineRule="auto"/>
              <w:rPr>
                <w:sz w:val="18"/>
                <w:szCs w:val="18"/>
              </w:rPr>
            </w:pPr>
            <w:r w:rsidRPr="007B5A0A">
              <w:rPr>
                <w:i/>
                <w:sz w:val="18"/>
                <w:szCs w:val="18"/>
              </w:rPr>
              <w:t>Defini</w:t>
            </w:r>
            <w:r w:rsidRPr="007B5A0A">
              <w:rPr>
                <w:i/>
                <w:sz w:val="18"/>
                <w:szCs w:val="18"/>
              </w:rPr>
              <w:softHyphen/>
              <w:t>tioner:</w:t>
            </w:r>
          </w:p>
        </w:tc>
        <w:tc>
          <w:tcPr>
            <w:tcW w:w="8788" w:type="dxa"/>
            <w:gridSpan w:val="2"/>
            <w:tcBorders>
              <w:right w:val="single" w:sz="12" w:space="0" w:color="auto"/>
            </w:tcBorders>
            <w:shd w:val="clear" w:color="auto" w:fill="F2F2F2" w:themeFill="background1" w:themeFillShade="F2"/>
          </w:tcPr>
          <w:p w14:paraId="3090343D" w14:textId="77777777" w:rsidR="006E5952" w:rsidRPr="007B5A0A" w:rsidRDefault="006E5952" w:rsidP="009A1294">
            <w:pPr>
              <w:spacing w:after="160" w:line="259" w:lineRule="auto"/>
              <w:rPr>
                <w:sz w:val="18"/>
                <w:szCs w:val="18"/>
              </w:rPr>
            </w:pPr>
            <w:r w:rsidRPr="007B5A0A">
              <w:rPr>
                <w:i/>
                <w:sz w:val="18"/>
                <w:szCs w:val="18"/>
              </w:rPr>
              <w:t>Begrænsninger i donors dagligdag:</w:t>
            </w:r>
            <w:r w:rsidRPr="007B5A0A">
              <w:rPr>
                <w:sz w:val="18"/>
                <w:szCs w:val="18"/>
              </w:rPr>
              <w:t xml:space="preserve"> Donor er begrænset, hvis donor ikke kan varetage hverdagsfunktioner fx arbejde, gå i skole, dyrke fritidsaktiviteter, transport (fx køre bil, cykle), indkøb, daglig hygiejne eller til at komme rundt i eller uden for hjemmet.</w:t>
            </w:r>
          </w:p>
          <w:p w14:paraId="2730C707" w14:textId="77777777" w:rsidR="006E5952" w:rsidRPr="007B5A0A" w:rsidRDefault="006E5952" w:rsidP="009A1294">
            <w:pPr>
              <w:spacing w:after="160" w:line="259" w:lineRule="auto"/>
              <w:rPr>
                <w:sz w:val="18"/>
                <w:szCs w:val="18"/>
              </w:rPr>
            </w:pPr>
            <w:r w:rsidRPr="007B5A0A">
              <w:rPr>
                <w:sz w:val="18"/>
                <w:szCs w:val="18"/>
              </w:rPr>
              <w:t>Det betragtes også som en begrænsning i donors dagligdag, hvis donor varetager hverdagsfunktioner til trods for smerter/gener.</w:t>
            </w:r>
          </w:p>
        </w:tc>
      </w:tr>
      <w:tr w:rsidR="006E5952" w:rsidRPr="007B5A0A" w14:paraId="6D60DC9A" w14:textId="77777777" w:rsidTr="007F2C23">
        <w:tc>
          <w:tcPr>
            <w:tcW w:w="9923" w:type="dxa"/>
            <w:gridSpan w:val="3"/>
            <w:tcBorders>
              <w:left w:val="single" w:sz="12" w:space="0" w:color="auto"/>
              <w:bottom w:val="single" w:sz="12" w:space="0" w:color="auto"/>
              <w:right w:val="single" w:sz="12" w:space="0" w:color="auto"/>
            </w:tcBorders>
            <w:shd w:val="clear" w:color="auto" w:fill="F2F2F2" w:themeFill="background1" w:themeFillShade="F2"/>
          </w:tcPr>
          <w:p w14:paraId="3D0B163C" w14:textId="77777777" w:rsidR="006E5952" w:rsidRPr="007B5A0A" w:rsidRDefault="006E5952" w:rsidP="009A1294">
            <w:pPr>
              <w:spacing w:after="160" w:line="259" w:lineRule="auto"/>
              <w:rPr>
                <w:i/>
                <w:sz w:val="18"/>
                <w:szCs w:val="18"/>
              </w:rPr>
            </w:pPr>
            <w:r w:rsidRPr="007B5A0A">
              <w:rPr>
                <w:i/>
                <w:sz w:val="18"/>
                <w:szCs w:val="18"/>
              </w:rPr>
              <w:t>Bivirkninger af sværhedsgrad 3, 4 og 5 skal også indberettes til Styrelsen for Patientsikkerhed</w:t>
            </w:r>
          </w:p>
        </w:tc>
      </w:tr>
    </w:tbl>
    <w:p w14:paraId="582BDDE1" w14:textId="77777777" w:rsidR="007B5A0A" w:rsidRPr="007B5A0A" w:rsidRDefault="007B5A0A" w:rsidP="007B5A0A">
      <w:r w:rsidRPr="007B5A0A">
        <w:t>*koden anvendes som andet tegn i koderegistreringen</w:t>
      </w:r>
    </w:p>
    <w:p w14:paraId="5847EA50" w14:textId="77777777" w:rsidR="00EF0AAC" w:rsidRDefault="00EF0AAC">
      <w:r>
        <w:br w:type="page"/>
      </w:r>
    </w:p>
    <w:p w14:paraId="4D802508" w14:textId="74C58338" w:rsidR="007F2C23" w:rsidRPr="007F2C23" w:rsidRDefault="006E5952" w:rsidP="007B5A0A">
      <w:pPr>
        <w:rPr>
          <w:bCs/>
        </w:rPr>
      </w:pPr>
      <w:r>
        <w:lastRenderedPageBreak/>
        <w:t>Tabel 3 Årsagssammenhæng ved bivirkninger</w:t>
      </w:r>
      <w:r w:rsidR="007F2C23">
        <w:br/>
      </w:r>
      <w:r w:rsidR="007F2C23" w:rsidRPr="0040743C">
        <w:rPr>
          <w:sz w:val="16"/>
          <w:szCs w:val="16"/>
        </w:rPr>
        <w:t xml:space="preserve">Koder anvendt til registrering i </w:t>
      </w:r>
      <w:proofErr w:type="spellStart"/>
      <w:r w:rsidR="007F2C23" w:rsidRPr="0040743C">
        <w:rPr>
          <w:sz w:val="16"/>
          <w:szCs w:val="16"/>
        </w:rPr>
        <w:t>Blödflödet</w:t>
      </w:r>
      <w:proofErr w:type="spellEnd"/>
      <w:r w:rsidR="007F2C23" w:rsidRPr="0040743C">
        <w:rPr>
          <w:sz w:val="16"/>
          <w:szCs w:val="16"/>
        </w:rPr>
        <w:t>, se version 1.2</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2694"/>
        <w:gridCol w:w="5228"/>
      </w:tblGrid>
      <w:tr w:rsidR="006E5952" w:rsidRPr="007B5A0A" w14:paraId="797FE598" w14:textId="77777777" w:rsidTr="00DB6CF5">
        <w:trPr>
          <w:trHeight w:val="343"/>
        </w:trPr>
        <w:tc>
          <w:tcPr>
            <w:tcW w:w="9765" w:type="dxa"/>
            <w:gridSpan w:val="3"/>
            <w:shd w:val="clear" w:color="auto" w:fill="F2F2F2" w:themeFill="background1" w:themeFillShade="F2"/>
            <w:vAlign w:val="center"/>
          </w:tcPr>
          <w:p w14:paraId="0BB352E6" w14:textId="77777777" w:rsidR="006E5952" w:rsidRPr="007B5A0A" w:rsidRDefault="006E5952" w:rsidP="009A1294">
            <w:pPr>
              <w:rPr>
                <w:b/>
                <w:bCs/>
                <w:sz w:val="18"/>
                <w:szCs w:val="18"/>
              </w:rPr>
            </w:pPr>
            <w:r w:rsidRPr="007B5A0A">
              <w:rPr>
                <w:b/>
                <w:bCs/>
                <w:sz w:val="18"/>
                <w:szCs w:val="18"/>
              </w:rPr>
              <w:t>Årsagssammenhæng med bloddonation</w:t>
            </w:r>
          </w:p>
        </w:tc>
      </w:tr>
      <w:tr w:rsidR="00EF0AAC" w:rsidRPr="007B5A0A" w14:paraId="5CF4445D" w14:textId="77777777" w:rsidTr="00DB6CF5">
        <w:trPr>
          <w:trHeight w:val="283"/>
        </w:trPr>
        <w:tc>
          <w:tcPr>
            <w:tcW w:w="1843" w:type="dxa"/>
            <w:shd w:val="clear" w:color="auto" w:fill="F2F2F2"/>
            <w:tcMar>
              <w:top w:w="0" w:type="dxa"/>
              <w:left w:w="108" w:type="dxa"/>
              <w:bottom w:w="0" w:type="dxa"/>
              <w:right w:w="108" w:type="dxa"/>
            </w:tcMar>
            <w:hideMark/>
          </w:tcPr>
          <w:p w14:paraId="147BE5E1" w14:textId="77777777" w:rsidR="00EF0AAC" w:rsidRPr="007B5A0A" w:rsidRDefault="00EF0AAC" w:rsidP="009A1294">
            <w:pPr>
              <w:rPr>
                <w:sz w:val="18"/>
                <w:szCs w:val="18"/>
              </w:rPr>
            </w:pPr>
            <w:r w:rsidRPr="007B5A0A">
              <w:rPr>
                <w:b/>
                <w:bCs/>
                <w:sz w:val="18"/>
                <w:szCs w:val="18"/>
              </w:rPr>
              <w:t>Kode</w:t>
            </w:r>
          </w:p>
          <w:p w14:paraId="702EA461" w14:textId="77777777" w:rsidR="00EF0AAC" w:rsidRPr="007B5A0A" w:rsidRDefault="00EF0AAC" w:rsidP="009A1294">
            <w:pPr>
              <w:rPr>
                <w:b/>
                <w:bCs/>
                <w:sz w:val="18"/>
                <w:szCs w:val="18"/>
              </w:rPr>
            </w:pPr>
            <w:r w:rsidRPr="007B5A0A">
              <w:rPr>
                <w:b/>
                <w:bCs/>
                <w:sz w:val="18"/>
                <w:szCs w:val="18"/>
              </w:rPr>
              <w:t>Pro-sang*</w:t>
            </w:r>
          </w:p>
          <w:p w14:paraId="3A97E038" w14:textId="77777777" w:rsidR="00EF0AAC" w:rsidRPr="007B5A0A" w:rsidRDefault="00EF0AAC" w:rsidP="009A1294">
            <w:pPr>
              <w:rPr>
                <w:sz w:val="18"/>
                <w:szCs w:val="18"/>
              </w:rPr>
            </w:pPr>
          </w:p>
        </w:tc>
        <w:tc>
          <w:tcPr>
            <w:tcW w:w="2694" w:type="dxa"/>
            <w:shd w:val="clear" w:color="auto" w:fill="F2F2F2"/>
            <w:vAlign w:val="center"/>
          </w:tcPr>
          <w:p w14:paraId="6F81A2AD" w14:textId="77777777" w:rsidR="00EF0AAC" w:rsidRPr="007B5A0A" w:rsidRDefault="00EF0AAC" w:rsidP="009A1294">
            <w:pPr>
              <w:rPr>
                <w:b/>
                <w:bCs/>
                <w:sz w:val="18"/>
                <w:szCs w:val="18"/>
              </w:rPr>
            </w:pPr>
            <w:r w:rsidRPr="007B5A0A">
              <w:rPr>
                <w:b/>
                <w:bCs/>
                <w:sz w:val="18"/>
                <w:szCs w:val="18"/>
              </w:rPr>
              <w:t>Sammenhæng</w:t>
            </w:r>
          </w:p>
        </w:tc>
        <w:tc>
          <w:tcPr>
            <w:tcW w:w="5228" w:type="dxa"/>
            <w:shd w:val="clear" w:color="auto" w:fill="F2F2F2"/>
            <w:tcMar>
              <w:top w:w="0" w:type="dxa"/>
              <w:left w:w="108" w:type="dxa"/>
              <w:bottom w:w="0" w:type="dxa"/>
              <w:right w:w="108" w:type="dxa"/>
            </w:tcMar>
            <w:vAlign w:val="center"/>
            <w:hideMark/>
          </w:tcPr>
          <w:p w14:paraId="5B4ABAFC" w14:textId="77777777" w:rsidR="00EF0AAC" w:rsidRPr="007B5A0A" w:rsidRDefault="00EF0AAC" w:rsidP="009A1294">
            <w:pPr>
              <w:rPr>
                <w:sz w:val="18"/>
                <w:szCs w:val="18"/>
              </w:rPr>
            </w:pPr>
            <w:r w:rsidRPr="007B5A0A">
              <w:rPr>
                <w:b/>
                <w:bCs/>
                <w:sz w:val="18"/>
                <w:szCs w:val="18"/>
              </w:rPr>
              <w:t>Forklaring</w:t>
            </w:r>
          </w:p>
        </w:tc>
      </w:tr>
      <w:tr w:rsidR="007F2C23" w:rsidRPr="007B5A0A" w14:paraId="0DB9ED09" w14:textId="77777777" w:rsidTr="00DB6CF5">
        <w:trPr>
          <w:trHeight w:val="283"/>
        </w:trPr>
        <w:tc>
          <w:tcPr>
            <w:tcW w:w="1843" w:type="dxa"/>
            <w:tcMar>
              <w:top w:w="0" w:type="dxa"/>
              <w:left w:w="108" w:type="dxa"/>
              <w:bottom w:w="0" w:type="dxa"/>
              <w:right w:w="108" w:type="dxa"/>
            </w:tcMar>
            <w:vAlign w:val="center"/>
            <w:hideMark/>
          </w:tcPr>
          <w:p w14:paraId="7BEB89FA" w14:textId="77777777" w:rsidR="007F2C23" w:rsidRPr="007B5A0A" w:rsidRDefault="007F2C23" w:rsidP="009A1294">
            <w:pPr>
              <w:rPr>
                <w:sz w:val="18"/>
                <w:szCs w:val="18"/>
              </w:rPr>
            </w:pPr>
            <w:r w:rsidRPr="007B5A0A">
              <w:rPr>
                <w:sz w:val="18"/>
                <w:szCs w:val="18"/>
              </w:rPr>
              <w:t>9</w:t>
            </w:r>
          </w:p>
          <w:p w14:paraId="7A3CBFFE" w14:textId="60246DB8" w:rsidR="007F2C23" w:rsidRPr="007B5A0A" w:rsidRDefault="007F2C23" w:rsidP="009A1294">
            <w:pPr>
              <w:rPr>
                <w:sz w:val="18"/>
                <w:szCs w:val="18"/>
              </w:rPr>
            </w:pPr>
          </w:p>
        </w:tc>
        <w:tc>
          <w:tcPr>
            <w:tcW w:w="2694" w:type="dxa"/>
            <w:vAlign w:val="center"/>
          </w:tcPr>
          <w:p w14:paraId="079E7115" w14:textId="77777777" w:rsidR="007F2C23" w:rsidRPr="007B5A0A" w:rsidRDefault="007F2C23" w:rsidP="009A1294">
            <w:pPr>
              <w:rPr>
                <w:sz w:val="18"/>
                <w:szCs w:val="18"/>
              </w:rPr>
            </w:pPr>
            <w:r w:rsidRPr="007B5A0A">
              <w:rPr>
                <w:sz w:val="18"/>
                <w:szCs w:val="18"/>
              </w:rPr>
              <w:t>Kan ikke vurderes</w:t>
            </w:r>
          </w:p>
        </w:tc>
        <w:tc>
          <w:tcPr>
            <w:tcW w:w="5228" w:type="dxa"/>
            <w:tcMar>
              <w:top w:w="0" w:type="dxa"/>
              <w:left w:w="108" w:type="dxa"/>
              <w:bottom w:w="0" w:type="dxa"/>
              <w:right w:w="108" w:type="dxa"/>
            </w:tcMar>
            <w:hideMark/>
          </w:tcPr>
          <w:p w14:paraId="6464E534" w14:textId="77777777" w:rsidR="007F2C23" w:rsidRPr="007B5A0A" w:rsidRDefault="007F2C23" w:rsidP="009A1294">
            <w:pPr>
              <w:rPr>
                <w:sz w:val="18"/>
                <w:szCs w:val="18"/>
              </w:rPr>
            </w:pPr>
            <w:r w:rsidRPr="007B5A0A">
              <w:rPr>
                <w:sz w:val="18"/>
                <w:szCs w:val="18"/>
              </w:rPr>
              <w:t>Der foreligger ikke tilstrækkelig information til, at sammenhængen kan vurderes.</w:t>
            </w:r>
          </w:p>
        </w:tc>
      </w:tr>
      <w:tr w:rsidR="007F2C23" w:rsidRPr="007B5A0A" w14:paraId="3FB16F07" w14:textId="77777777" w:rsidTr="00DB6CF5">
        <w:trPr>
          <w:trHeight w:val="283"/>
        </w:trPr>
        <w:tc>
          <w:tcPr>
            <w:tcW w:w="1843" w:type="dxa"/>
            <w:tcMar>
              <w:top w:w="0" w:type="dxa"/>
              <w:left w:w="108" w:type="dxa"/>
              <w:bottom w:w="0" w:type="dxa"/>
              <w:right w:w="108" w:type="dxa"/>
            </w:tcMar>
            <w:vAlign w:val="center"/>
            <w:hideMark/>
          </w:tcPr>
          <w:p w14:paraId="030769EE" w14:textId="77777777" w:rsidR="007F2C23" w:rsidRPr="007B5A0A" w:rsidRDefault="007F2C23" w:rsidP="009A1294">
            <w:pPr>
              <w:rPr>
                <w:sz w:val="18"/>
                <w:szCs w:val="18"/>
              </w:rPr>
            </w:pPr>
            <w:r w:rsidRPr="007B5A0A">
              <w:rPr>
                <w:sz w:val="18"/>
                <w:szCs w:val="18"/>
              </w:rPr>
              <w:t>0</w:t>
            </w:r>
          </w:p>
          <w:p w14:paraId="64980FB1" w14:textId="70921E1B" w:rsidR="007F2C23" w:rsidRPr="007B5A0A" w:rsidRDefault="007F2C23" w:rsidP="009A1294">
            <w:pPr>
              <w:rPr>
                <w:sz w:val="18"/>
                <w:szCs w:val="18"/>
              </w:rPr>
            </w:pPr>
          </w:p>
        </w:tc>
        <w:tc>
          <w:tcPr>
            <w:tcW w:w="2694" w:type="dxa"/>
            <w:vAlign w:val="center"/>
          </w:tcPr>
          <w:p w14:paraId="389EEF50" w14:textId="77777777" w:rsidR="007F2C23" w:rsidRPr="007B5A0A" w:rsidRDefault="007F2C23" w:rsidP="009A1294">
            <w:pPr>
              <w:rPr>
                <w:sz w:val="18"/>
                <w:szCs w:val="18"/>
              </w:rPr>
            </w:pPr>
            <w:r w:rsidRPr="007B5A0A">
              <w:rPr>
                <w:sz w:val="18"/>
                <w:szCs w:val="18"/>
              </w:rPr>
              <w:t>Udelukket/usandsynlig</w:t>
            </w:r>
          </w:p>
        </w:tc>
        <w:tc>
          <w:tcPr>
            <w:tcW w:w="5228" w:type="dxa"/>
            <w:tcMar>
              <w:top w:w="0" w:type="dxa"/>
              <w:left w:w="108" w:type="dxa"/>
              <w:bottom w:w="0" w:type="dxa"/>
              <w:right w:w="108" w:type="dxa"/>
            </w:tcMar>
            <w:hideMark/>
          </w:tcPr>
          <w:p w14:paraId="444FAD20" w14:textId="77777777" w:rsidR="007F2C23" w:rsidRPr="007B5A0A" w:rsidRDefault="007F2C23" w:rsidP="009A1294">
            <w:pPr>
              <w:rPr>
                <w:sz w:val="18"/>
                <w:szCs w:val="18"/>
              </w:rPr>
            </w:pPr>
            <w:r w:rsidRPr="007B5A0A">
              <w:rPr>
                <w:sz w:val="18"/>
                <w:szCs w:val="18"/>
              </w:rPr>
              <w:t xml:space="preserve">Der foreligger uden rimelig tvivl afgørende indikation af, at bivirkningen skyldes andre årsager. </w:t>
            </w:r>
          </w:p>
        </w:tc>
      </w:tr>
      <w:tr w:rsidR="007F2C23" w:rsidRPr="007B5A0A" w14:paraId="17259673" w14:textId="77777777" w:rsidTr="00DB6CF5">
        <w:trPr>
          <w:trHeight w:val="283"/>
        </w:trPr>
        <w:tc>
          <w:tcPr>
            <w:tcW w:w="1843" w:type="dxa"/>
            <w:tcMar>
              <w:top w:w="0" w:type="dxa"/>
              <w:left w:w="108" w:type="dxa"/>
              <w:bottom w:w="0" w:type="dxa"/>
              <w:right w:w="108" w:type="dxa"/>
            </w:tcMar>
            <w:vAlign w:val="center"/>
            <w:hideMark/>
          </w:tcPr>
          <w:p w14:paraId="574946C9" w14:textId="77777777" w:rsidR="007F2C23" w:rsidRPr="007B5A0A" w:rsidRDefault="007F2C23" w:rsidP="009A1294">
            <w:pPr>
              <w:rPr>
                <w:sz w:val="18"/>
                <w:szCs w:val="18"/>
              </w:rPr>
            </w:pPr>
            <w:r w:rsidRPr="007B5A0A">
              <w:rPr>
                <w:sz w:val="18"/>
                <w:szCs w:val="18"/>
              </w:rPr>
              <w:t>1</w:t>
            </w:r>
          </w:p>
          <w:p w14:paraId="53AE7DD4" w14:textId="3099F216" w:rsidR="007F2C23" w:rsidRPr="007B5A0A" w:rsidRDefault="007F2C23" w:rsidP="009A1294">
            <w:pPr>
              <w:rPr>
                <w:sz w:val="18"/>
                <w:szCs w:val="18"/>
              </w:rPr>
            </w:pPr>
          </w:p>
        </w:tc>
        <w:tc>
          <w:tcPr>
            <w:tcW w:w="2694" w:type="dxa"/>
            <w:vAlign w:val="center"/>
          </w:tcPr>
          <w:p w14:paraId="681E2227" w14:textId="77777777" w:rsidR="007F2C23" w:rsidRPr="007B5A0A" w:rsidRDefault="007F2C23" w:rsidP="009A1294">
            <w:pPr>
              <w:rPr>
                <w:sz w:val="18"/>
                <w:szCs w:val="18"/>
              </w:rPr>
            </w:pPr>
            <w:r w:rsidRPr="007B5A0A">
              <w:rPr>
                <w:sz w:val="18"/>
                <w:szCs w:val="18"/>
              </w:rPr>
              <w:t>Muligt</w:t>
            </w:r>
          </w:p>
        </w:tc>
        <w:tc>
          <w:tcPr>
            <w:tcW w:w="5228" w:type="dxa"/>
            <w:tcMar>
              <w:top w:w="0" w:type="dxa"/>
              <w:left w:w="108" w:type="dxa"/>
              <w:bottom w:w="0" w:type="dxa"/>
              <w:right w:w="108" w:type="dxa"/>
            </w:tcMar>
            <w:hideMark/>
          </w:tcPr>
          <w:p w14:paraId="671120D6" w14:textId="77777777" w:rsidR="007F2C23" w:rsidRPr="007B5A0A" w:rsidRDefault="007F2C23" w:rsidP="009A1294">
            <w:pPr>
              <w:rPr>
                <w:sz w:val="18"/>
                <w:szCs w:val="18"/>
              </w:rPr>
            </w:pPr>
            <w:r w:rsidRPr="007B5A0A">
              <w:rPr>
                <w:sz w:val="18"/>
                <w:szCs w:val="18"/>
              </w:rPr>
              <w:t xml:space="preserve">Det kan ikke med sikkerhed bevises om bivirkningen skyldes donationen eller anden årsag. </w:t>
            </w:r>
          </w:p>
        </w:tc>
      </w:tr>
      <w:tr w:rsidR="007F2C23" w:rsidRPr="007B5A0A" w14:paraId="67109031" w14:textId="77777777" w:rsidTr="00DB6CF5">
        <w:trPr>
          <w:trHeight w:val="283"/>
        </w:trPr>
        <w:tc>
          <w:tcPr>
            <w:tcW w:w="1843" w:type="dxa"/>
            <w:tcMar>
              <w:top w:w="0" w:type="dxa"/>
              <w:left w:w="108" w:type="dxa"/>
              <w:bottom w:w="0" w:type="dxa"/>
              <w:right w:w="108" w:type="dxa"/>
            </w:tcMar>
            <w:vAlign w:val="center"/>
            <w:hideMark/>
          </w:tcPr>
          <w:p w14:paraId="0F7145FF" w14:textId="77777777" w:rsidR="007F2C23" w:rsidRPr="007B5A0A" w:rsidRDefault="007F2C23" w:rsidP="009A1294">
            <w:pPr>
              <w:rPr>
                <w:sz w:val="18"/>
                <w:szCs w:val="18"/>
              </w:rPr>
            </w:pPr>
            <w:r w:rsidRPr="007B5A0A">
              <w:rPr>
                <w:sz w:val="18"/>
                <w:szCs w:val="18"/>
              </w:rPr>
              <w:t>2</w:t>
            </w:r>
          </w:p>
          <w:p w14:paraId="3D692002" w14:textId="1CE90EA3" w:rsidR="007F2C23" w:rsidRPr="007B5A0A" w:rsidRDefault="007F2C23" w:rsidP="009A1294">
            <w:pPr>
              <w:rPr>
                <w:sz w:val="18"/>
                <w:szCs w:val="18"/>
              </w:rPr>
            </w:pPr>
          </w:p>
        </w:tc>
        <w:tc>
          <w:tcPr>
            <w:tcW w:w="2694" w:type="dxa"/>
            <w:vAlign w:val="center"/>
          </w:tcPr>
          <w:p w14:paraId="04FDCAEA" w14:textId="77777777" w:rsidR="007F2C23" w:rsidRPr="007B5A0A" w:rsidRDefault="007F2C23" w:rsidP="009A1294">
            <w:pPr>
              <w:rPr>
                <w:sz w:val="18"/>
                <w:szCs w:val="18"/>
              </w:rPr>
            </w:pPr>
            <w:r w:rsidRPr="007B5A0A">
              <w:rPr>
                <w:sz w:val="18"/>
                <w:szCs w:val="18"/>
              </w:rPr>
              <w:t>Sandsynligt</w:t>
            </w:r>
          </w:p>
        </w:tc>
        <w:tc>
          <w:tcPr>
            <w:tcW w:w="5228" w:type="dxa"/>
            <w:tcMar>
              <w:top w:w="0" w:type="dxa"/>
              <w:left w:w="108" w:type="dxa"/>
              <w:bottom w:w="0" w:type="dxa"/>
              <w:right w:w="108" w:type="dxa"/>
            </w:tcMar>
            <w:hideMark/>
          </w:tcPr>
          <w:p w14:paraId="175E32D9" w14:textId="77777777" w:rsidR="007F2C23" w:rsidRPr="007B5A0A" w:rsidRDefault="007F2C23" w:rsidP="009A1294">
            <w:pPr>
              <w:rPr>
                <w:sz w:val="18"/>
                <w:szCs w:val="18"/>
              </w:rPr>
            </w:pPr>
            <w:r w:rsidRPr="007B5A0A">
              <w:rPr>
                <w:sz w:val="18"/>
                <w:szCs w:val="18"/>
              </w:rPr>
              <w:t>Der er klar indikation af, at bivirkningen skyldes donationen.</w:t>
            </w:r>
          </w:p>
          <w:p w14:paraId="13D17F62" w14:textId="77777777" w:rsidR="007F2C23" w:rsidRPr="007B5A0A" w:rsidRDefault="007F2C23" w:rsidP="009A1294">
            <w:pPr>
              <w:rPr>
                <w:sz w:val="18"/>
                <w:szCs w:val="18"/>
              </w:rPr>
            </w:pPr>
            <w:r w:rsidRPr="007B5A0A">
              <w:rPr>
                <w:sz w:val="18"/>
                <w:szCs w:val="18"/>
              </w:rPr>
              <w:t> </w:t>
            </w:r>
          </w:p>
        </w:tc>
      </w:tr>
      <w:tr w:rsidR="007F2C23" w:rsidRPr="007B5A0A" w14:paraId="4F5D4A13" w14:textId="77777777" w:rsidTr="00DB6CF5">
        <w:trPr>
          <w:trHeight w:val="283"/>
        </w:trPr>
        <w:tc>
          <w:tcPr>
            <w:tcW w:w="1843" w:type="dxa"/>
            <w:tcMar>
              <w:top w:w="0" w:type="dxa"/>
              <w:left w:w="108" w:type="dxa"/>
              <w:bottom w:w="0" w:type="dxa"/>
              <w:right w:w="108" w:type="dxa"/>
            </w:tcMar>
            <w:vAlign w:val="center"/>
            <w:hideMark/>
          </w:tcPr>
          <w:p w14:paraId="24E75B0B" w14:textId="77777777" w:rsidR="007F2C23" w:rsidRPr="007B5A0A" w:rsidRDefault="007F2C23" w:rsidP="009A1294">
            <w:pPr>
              <w:rPr>
                <w:sz w:val="18"/>
                <w:szCs w:val="18"/>
              </w:rPr>
            </w:pPr>
            <w:r w:rsidRPr="007B5A0A">
              <w:rPr>
                <w:sz w:val="18"/>
                <w:szCs w:val="18"/>
              </w:rPr>
              <w:t>3</w:t>
            </w:r>
          </w:p>
          <w:p w14:paraId="08D86DD2" w14:textId="33E3321F" w:rsidR="007F2C23" w:rsidRPr="007B5A0A" w:rsidRDefault="007F2C23" w:rsidP="009A1294">
            <w:pPr>
              <w:rPr>
                <w:sz w:val="18"/>
                <w:szCs w:val="18"/>
              </w:rPr>
            </w:pPr>
          </w:p>
        </w:tc>
        <w:tc>
          <w:tcPr>
            <w:tcW w:w="2694" w:type="dxa"/>
            <w:vAlign w:val="center"/>
          </w:tcPr>
          <w:p w14:paraId="71F9C55D" w14:textId="77777777" w:rsidR="007F2C23" w:rsidRPr="007B5A0A" w:rsidRDefault="007F2C23" w:rsidP="009A1294">
            <w:pPr>
              <w:rPr>
                <w:sz w:val="18"/>
                <w:szCs w:val="18"/>
              </w:rPr>
            </w:pPr>
            <w:r w:rsidRPr="007B5A0A">
              <w:rPr>
                <w:sz w:val="18"/>
                <w:szCs w:val="18"/>
              </w:rPr>
              <w:t>Sikkert</w:t>
            </w:r>
          </w:p>
        </w:tc>
        <w:tc>
          <w:tcPr>
            <w:tcW w:w="5228" w:type="dxa"/>
            <w:tcMar>
              <w:top w:w="0" w:type="dxa"/>
              <w:left w:w="108" w:type="dxa"/>
              <w:bottom w:w="0" w:type="dxa"/>
              <w:right w:w="108" w:type="dxa"/>
            </w:tcMar>
            <w:hideMark/>
          </w:tcPr>
          <w:p w14:paraId="16156F58" w14:textId="77777777" w:rsidR="007F2C23" w:rsidRPr="007B5A0A" w:rsidRDefault="007F2C23" w:rsidP="009A1294">
            <w:pPr>
              <w:rPr>
                <w:sz w:val="18"/>
                <w:szCs w:val="18"/>
              </w:rPr>
            </w:pPr>
            <w:r w:rsidRPr="007B5A0A">
              <w:rPr>
                <w:sz w:val="18"/>
                <w:szCs w:val="18"/>
              </w:rPr>
              <w:t>Der foreligger uden tvivl afgørende indikation på, at bivirkningen skyldes bloddonationen (eller forhold relateret hertil)</w:t>
            </w:r>
          </w:p>
        </w:tc>
      </w:tr>
    </w:tbl>
    <w:p w14:paraId="3103883D" w14:textId="77777777" w:rsidR="006E5952" w:rsidRPr="007B5A0A" w:rsidRDefault="006E5952" w:rsidP="006E5952">
      <w:r w:rsidRPr="007B5A0A">
        <w:t>*koden anvendes som tredje tegn i koderegistreringen</w:t>
      </w:r>
    </w:p>
    <w:p w14:paraId="6F8E5E0E" w14:textId="77777777" w:rsidR="006E5952" w:rsidRDefault="006E5952" w:rsidP="006E5952">
      <w:pPr>
        <w:spacing w:after="0" w:line="240" w:lineRule="auto"/>
        <w:contextualSpacing/>
        <w:jc w:val="both"/>
        <w:rPr>
          <w:rFonts w:ascii="Calibri" w:eastAsia="Calibri" w:hAnsi="Calibri" w:cs="Calibri"/>
          <w:b/>
        </w:rPr>
      </w:pPr>
    </w:p>
    <w:p w14:paraId="43BB2D61" w14:textId="77777777" w:rsidR="006E5952" w:rsidRPr="00267B0B" w:rsidRDefault="006E5952" w:rsidP="005369AD">
      <w:pPr>
        <w:spacing w:after="0" w:line="240" w:lineRule="auto"/>
        <w:contextualSpacing/>
        <w:rPr>
          <w:rFonts w:ascii="Calibri" w:eastAsia="Calibri" w:hAnsi="Calibri" w:cs="Calibri"/>
          <w:bCs/>
        </w:rPr>
      </w:pPr>
      <w:r w:rsidRPr="00267B0B">
        <w:rPr>
          <w:rFonts w:ascii="Calibri" w:eastAsia="Calibri" w:hAnsi="Calibri" w:cs="Calibri"/>
          <w:bCs/>
        </w:rPr>
        <w:t>Eksempel på kodning</w:t>
      </w:r>
    </w:p>
    <w:p w14:paraId="7EC8CA76" w14:textId="77777777" w:rsidR="006E5952" w:rsidRPr="00267B0B" w:rsidRDefault="006E5952" w:rsidP="005369AD">
      <w:pPr>
        <w:spacing w:after="0" w:line="240" w:lineRule="auto"/>
        <w:contextualSpacing/>
        <w:rPr>
          <w:rFonts w:ascii="Calibri" w:eastAsia="Calibri" w:hAnsi="Calibri" w:cs="Calibri"/>
        </w:rPr>
      </w:pPr>
      <w:r w:rsidRPr="00267B0B">
        <w:rPr>
          <w:rFonts w:ascii="Calibri" w:eastAsia="Calibri" w:hAnsi="Calibri" w:cs="Calibri"/>
        </w:rPr>
        <w:t xml:space="preserve">Donor udvikler </w:t>
      </w:r>
      <w:proofErr w:type="spellStart"/>
      <w:r w:rsidRPr="00267B0B">
        <w:rPr>
          <w:rFonts w:ascii="Calibri" w:eastAsia="Calibri" w:hAnsi="Calibri" w:cs="Calibri"/>
        </w:rPr>
        <w:t>hæmatom</w:t>
      </w:r>
      <w:proofErr w:type="spellEnd"/>
      <w:r w:rsidRPr="00267B0B">
        <w:rPr>
          <w:rFonts w:ascii="Calibri" w:eastAsia="Calibri" w:hAnsi="Calibri" w:cs="Calibri"/>
        </w:rPr>
        <w:t xml:space="preserve"> i blodbanken i relation til tapning. Bivirkningsregistrering angives i Prosang som A13 (</w:t>
      </w:r>
      <w:proofErr w:type="spellStart"/>
      <w:r w:rsidRPr="00267B0B">
        <w:rPr>
          <w:rFonts w:ascii="Calibri" w:eastAsia="Calibri" w:hAnsi="Calibri" w:cs="Calibri"/>
        </w:rPr>
        <w:t>hæmatom</w:t>
      </w:r>
      <w:proofErr w:type="spellEnd"/>
      <w:r w:rsidRPr="00267B0B">
        <w:rPr>
          <w:rFonts w:ascii="Calibri" w:eastAsia="Calibri" w:hAnsi="Calibri" w:cs="Calibri"/>
        </w:rPr>
        <w:t xml:space="preserve">, behandlet i blodbanken og forventes overstået inden for to uger uden yderligere behandling, sikker sammenhæng med bloddonationen). </w:t>
      </w:r>
    </w:p>
    <w:p w14:paraId="780C041B" w14:textId="77777777" w:rsidR="006E5952" w:rsidRPr="00267B0B" w:rsidRDefault="006E5952" w:rsidP="005369AD">
      <w:pPr>
        <w:spacing w:after="0" w:line="240" w:lineRule="auto"/>
        <w:contextualSpacing/>
        <w:rPr>
          <w:rFonts w:ascii="Calibri" w:eastAsia="Calibri" w:hAnsi="Calibri" w:cs="Calibri"/>
        </w:rPr>
      </w:pPr>
    </w:p>
    <w:p w14:paraId="000667BD" w14:textId="2A778EDF" w:rsidR="006E5952" w:rsidRPr="00267B0B" w:rsidRDefault="006E5952" w:rsidP="005369AD">
      <w:pPr>
        <w:spacing w:after="0" w:line="240" w:lineRule="auto"/>
        <w:contextualSpacing/>
        <w:rPr>
          <w:rFonts w:ascii="Calibri" w:eastAsia="Calibri" w:hAnsi="Calibri" w:cs="Calibri"/>
        </w:rPr>
      </w:pPr>
      <w:r w:rsidRPr="00267B0B">
        <w:rPr>
          <w:rFonts w:ascii="Calibri" w:eastAsia="Calibri" w:hAnsi="Calibri" w:cs="Calibri"/>
        </w:rPr>
        <w:t xml:space="preserve">Donor klager over smerter ved </w:t>
      </w:r>
      <w:proofErr w:type="spellStart"/>
      <w:r w:rsidRPr="00267B0B">
        <w:rPr>
          <w:rFonts w:ascii="Calibri" w:eastAsia="Calibri" w:hAnsi="Calibri" w:cs="Calibri"/>
        </w:rPr>
        <w:t>plasmaferese</w:t>
      </w:r>
      <w:proofErr w:type="spellEnd"/>
      <w:r w:rsidRPr="00267B0B">
        <w:rPr>
          <w:rFonts w:ascii="Calibri" w:eastAsia="Calibri" w:hAnsi="Calibri" w:cs="Calibri"/>
        </w:rPr>
        <w:t>, tapning afbrydes, armen fremtræder let spændt og hævet over bicepsmuskelen. Kodes i Prosang som Q13 (</w:t>
      </w:r>
      <w:proofErr w:type="spellStart"/>
      <w:r w:rsidRPr="00267B0B">
        <w:rPr>
          <w:rFonts w:ascii="Calibri" w:eastAsia="Calibri" w:hAnsi="Calibri" w:cs="Calibri"/>
        </w:rPr>
        <w:t>Aferesebivirkning</w:t>
      </w:r>
      <w:proofErr w:type="spellEnd"/>
      <w:r w:rsidRPr="00267B0B">
        <w:rPr>
          <w:rFonts w:ascii="Calibri" w:eastAsia="Calibri" w:hAnsi="Calibri" w:cs="Calibri"/>
        </w:rPr>
        <w:t xml:space="preserve"> med infiltration, minimum af behandling, sikker årsagssammenhæng). Donor kontakter tappestedet efter 2 døgn, har stærke smerte og nedsat bevægelighed. Tilses af læge, der finder </w:t>
      </w:r>
      <w:proofErr w:type="spellStart"/>
      <w:r w:rsidRPr="00267B0B">
        <w:rPr>
          <w:rFonts w:ascii="Calibri" w:eastAsia="Calibri" w:hAnsi="Calibri" w:cs="Calibri"/>
        </w:rPr>
        <w:t>circumferensøgning</w:t>
      </w:r>
      <w:proofErr w:type="spellEnd"/>
      <w:r w:rsidRPr="00267B0B">
        <w:rPr>
          <w:rFonts w:ascii="Calibri" w:eastAsia="Calibri" w:hAnsi="Calibri" w:cs="Calibri"/>
        </w:rPr>
        <w:t xml:space="preserve">, smerter ved passiv bevægelighed og fravær af aktiv bevægelighed. Donor henvises til håndkirurg </w:t>
      </w:r>
      <w:proofErr w:type="spellStart"/>
      <w:r w:rsidRPr="00267B0B">
        <w:rPr>
          <w:rFonts w:ascii="Calibri" w:eastAsia="Calibri" w:hAnsi="Calibri" w:cs="Calibri"/>
        </w:rPr>
        <w:t>observatio</w:t>
      </w:r>
      <w:proofErr w:type="spellEnd"/>
      <w:r w:rsidRPr="00267B0B">
        <w:rPr>
          <w:rFonts w:ascii="Calibri" w:eastAsia="Calibri" w:hAnsi="Calibri" w:cs="Calibri"/>
        </w:rPr>
        <w:t xml:space="preserve"> pro </w:t>
      </w:r>
      <w:proofErr w:type="spellStart"/>
      <w:r w:rsidRPr="00267B0B">
        <w:rPr>
          <w:rFonts w:ascii="Calibri" w:eastAsia="Calibri" w:hAnsi="Calibri" w:cs="Calibri"/>
        </w:rPr>
        <w:t>kompartmentsyndrom</w:t>
      </w:r>
      <w:proofErr w:type="spellEnd"/>
      <w:r w:rsidRPr="00267B0B">
        <w:rPr>
          <w:rFonts w:ascii="Calibri" w:eastAsia="Calibri" w:hAnsi="Calibri" w:cs="Calibri"/>
        </w:rPr>
        <w:t>, indlægges 48 timer med konservativ behandling, efterfølgende 6 ugers sygemelding. Kodning revideres til F33 (</w:t>
      </w:r>
      <w:proofErr w:type="spellStart"/>
      <w:r w:rsidRPr="00267B0B">
        <w:rPr>
          <w:rFonts w:ascii="Calibri" w:eastAsia="Calibri" w:hAnsi="Calibri" w:cs="Calibri"/>
        </w:rPr>
        <w:t>kompartmentsyndrom</w:t>
      </w:r>
      <w:proofErr w:type="spellEnd"/>
      <w:r w:rsidRPr="00267B0B">
        <w:rPr>
          <w:rFonts w:ascii="Calibri" w:eastAsia="Calibri" w:hAnsi="Calibri" w:cs="Calibri"/>
        </w:rPr>
        <w:t>, indlæggelse samt begrænsninger i dagligdag over to uger, sikker årsagssammenhæng).</w:t>
      </w:r>
    </w:p>
    <w:p w14:paraId="10C66EBE" w14:textId="77777777" w:rsidR="006E5952" w:rsidRPr="00267B0B" w:rsidRDefault="006E5952" w:rsidP="005369AD">
      <w:pPr>
        <w:spacing w:after="0" w:line="240" w:lineRule="auto"/>
        <w:contextualSpacing/>
        <w:rPr>
          <w:rFonts w:ascii="Calibri" w:eastAsia="Calibri" w:hAnsi="Calibri" w:cs="Calibri"/>
        </w:rPr>
      </w:pPr>
    </w:p>
    <w:p w14:paraId="27932187" w14:textId="77777777" w:rsidR="006E5952" w:rsidRPr="00267B0B" w:rsidRDefault="006E5952" w:rsidP="005369AD">
      <w:pPr>
        <w:spacing w:after="0" w:line="240" w:lineRule="auto"/>
        <w:contextualSpacing/>
        <w:rPr>
          <w:rFonts w:ascii="Calibri" w:eastAsia="Calibri" w:hAnsi="Calibri" w:cs="Calibri"/>
        </w:rPr>
      </w:pPr>
      <w:r w:rsidRPr="00267B0B">
        <w:rPr>
          <w:rFonts w:ascii="Calibri" w:eastAsia="Calibri" w:hAnsi="Calibri" w:cs="Calibri"/>
        </w:rPr>
        <w:t xml:space="preserve">Donor får sveden, utilpashed, opkastninger og </w:t>
      </w:r>
      <w:proofErr w:type="spellStart"/>
      <w:r w:rsidRPr="00267B0B">
        <w:rPr>
          <w:rFonts w:ascii="Calibri" w:eastAsia="Calibri" w:hAnsi="Calibri" w:cs="Calibri"/>
        </w:rPr>
        <w:t>brystmerter</w:t>
      </w:r>
      <w:proofErr w:type="spellEnd"/>
      <w:r w:rsidRPr="00267B0B">
        <w:rPr>
          <w:rFonts w:ascii="Calibri" w:eastAsia="Calibri" w:hAnsi="Calibri" w:cs="Calibri"/>
        </w:rPr>
        <w:t xml:space="preserve"> under tapning. Der afbrydes. Donor henvises </w:t>
      </w:r>
      <w:proofErr w:type="spellStart"/>
      <w:r w:rsidRPr="00267B0B">
        <w:rPr>
          <w:rFonts w:ascii="Calibri" w:eastAsia="Calibri" w:hAnsi="Calibri" w:cs="Calibri"/>
        </w:rPr>
        <w:t>observatio</w:t>
      </w:r>
      <w:proofErr w:type="spellEnd"/>
      <w:r w:rsidRPr="00267B0B">
        <w:rPr>
          <w:rFonts w:ascii="Calibri" w:eastAsia="Calibri" w:hAnsi="Calibri" w:cs="Calibri"/>
        </w:rPr>
        <w:t xml:space="preserve"> pro akut myokardieinfarkt. Der påvises ingen EKG-forandringer, men iværksættes udredning som viser udtalt arteriosklerose. Primær kodning i Prosang U23 (hjertesymptomer, indlæggelseskrævende, sikker årsagssammenhæng) men revideres efterfølgende til U29, da det hos i den konkrete sag ikke er muligt at fastslå eller afvise sammenhæng med donation. </w:t>
      </w:r>
    </w:p>
    <w:p w14:paraId="527A0982" w14:textId="77777777" w:rsidR="006E5952" w:rsidRPr="00267B0B" w:rsidRDefault="006E5952" w:rsidP="005369AD">
      <w:pPr>
        <w:spacing w:after="0" w:line="240" w:lineRule="auto"/>
        <w:contextualSpacing/>
        <w:rPr>
          <w:rFonts w:ascii="Calibri" w:eastAsia="Calibri" w:hAnsi="Calibri" w:cs="Calibri"/>
        </w:rPr>
      </w:pPr>
    </w:p>
    <w:p w14:paraId="2ECBA335" w14:textId="77777777" w:rsidR="006E5952" w:rsidRPr="00267B0B" w:rsidRDefault="006E5952" w:rsidP="005369AD">
      <w:pPr>
        <w:spacing w:after="0" w:line="240" w:lineRule="auto"/>
        <w:contextualSpacing/>
        <w:rPr>
          <w:rFonts w:ascii="Calibri" w:eastAsia="Calibri" w:hAnsi="Calibri" w:cs="Calibri"/>
        </w:rPr>
      </w:pPr>
      <w:r w:rsidRPr="00267B0B">
        <w:rPr>
          <w:rFonts w:ascii="Calibri" w:eastAsia="Calibri" w:hAnsi="Calibri" w:cs="Calibri"/>
        </w:rPr>
        <w:t xml:space="preserve">Donor besvimer ved busstoppestedet ca. en timer efter </w:t>
      </w:r>
      <w:proofErr w:type="spellStart"/>
      <w:r w:rsidRPr="00267B0B">
        <w:rPr>
          <w:rFonts w:ascii="Calibri" w:eastAsia="Calibri" w:hAnsi="Calibri" w:cs="Calibri"/>
        </w:rPr>
        <w:t>fuldsblodtapning</w:t>
      </w:r>
      <w:proofErr w:type="spellEnd"/>
      <w:r w:rsidRPr="00267B0B">
        <w:rPr>
          <w:rFonts w:ascii="Calibri" w:eastAsia="Calibri" w:hAnsi="Calibri" w:cs="Calibri"/>
        </w:rPr>
        <w:t xml:space="preserve">. Alt vedrørende tapningen var helt uproblematisk. De tilstedeværende ved busstoppestedet ringer efter en ambulance. Donor vågner op og er i sin habituelle tilstand, da ambulancen kommer. Donor tages med på skadestuen, hvor donor </w:t>
      </w:r>
      <w:r w:rsidRPr="00267B0B">
        <w:rPr>
          <w:rFonts w:ascii="Calibri" w:eastAsia="Calibri" w:hAnsi="Calibri" w:cs="Calibri"/>
        </w:rPr>
        <w:lastRenderedPageBreak/>
        <w:t xml:space="preserve">observeres i en time. Blodtryk og puls findes normale. Det tolkes som en </w:t>
      </w:r>
      <w:proofErr w:type="spellStart"/>
      <w:r w:rsidRPr="00267B0B">
        <w:rPr>
          <w:rFonts w:ascii="Calibri" w:eastAsia="Calibri" w:hAnsi="Calibri" w:cs="Calibri"/>
        </w:rPr>
        <w:t>vasovagal</w:t>
      </w:r>
      <w:proofErr w:type="spellEnd"/>
      <w:r w:rsidRPr="00267B0B">
        <w:rPr>
          <w:rFonts w:ascii="Calibri" w:eastAsia="Calibri" w:hAnsi="Calibri" w:cs="Calibri"/>
        </w:rPr>
        <w:t xml:space="preserve"> reaktion, og donor tager hjem uden behov for yderligere undersøgelser. Dette kodes i Prosang som O22 (besvimelse uden for tappestedet med tab af bevidsthed, behandling uden for blodbanken uden indlæggelse, sandsynlig årsagssammenhæng).</w:t>
      </w:r>
    </w:p>
    <w:p w14:paraId="39AC87E2" w14:textId="77777777" w:rsidR="006E5952" w:rsidRPr="00267B0B" w:rsidRDefault="006E5952" w:rsidP="005369AD">
      <w:pPr>
        <w:widowControl w:val="0"/>
        <w:autoSpaceDE w:val="0"/>
        <w:autoSpaceDN w:val="0"/>
        <w:adjustRightInd w:val="0"/>
        <w:spacing w:after="0" w:line="240" w:lineRule="auto"/>
        <w:rPr>
          <w:rFonts w:ascii="Calibri" w:eastAsia="Calibri" w:hAnsi="Calibri" w:cs="Calibri"/>
          <w:b/>
        </w:rPr>
      </w:pPr>
    </w:p>
    <w:p w14:paraId="2AE5BEAC" w14:textId="77777777" w:rsidR="006E5952" w:rsidRPr="00267B0B" w:rsidRDefault="006E5952" w:rsidP="005369AD">
      <w:r w:rsidRPr="00267B0B">
        <w:t>Opsummering af kodning</w:t>
      </w:r>
    </w:p>
    <w:p w14:paraId="4AD09098" w14:textId="77777777" w:rsidR="006E5952" w:rsidRPr="00267B0B" w:rsidRDefault="006E5952" w:rsidP="005369AD">
      <w:pPr>
        <w:widowControl w:val="0"/>
        <w:autoSpaceDE w:val="0"/>
        <w:autoSpaceDN w:val="0"/>
        <w:adjustRightInd w:val="0"/>
        <w:spacing w:after="0" w:line="240" w:lineRule="auto"/>
        <w:rPr>
          <w:rFonts w:ascii="Calibri" w:eastAsia="Calibri" w:hAnsi="Calibri" w:cs="Calibri"/>
        </w:rPr>
      </w:pPr>
      <w:r w:rsidRPr="00267B0B">
        <w:rPr>
          <w:rFonts w:ascii="Calibri" w:eastAsia="Calibri" w:hAnsi="Calibri" w:cs="Calibri"/>
        </w:rPr>
        <w:t>Når bivirkningen er erkendt, angives kategori ud fra donors symptomer. Sværhedsgrad kan både angives når bivirkningen erkendes og revideres efter at bivirkningen er erkendt. Årsagssammenhæng angives når bivirkningen erkendes. Det betyder at det skal være muligt at registrere en bivirkning både under en tapning men også når tapningen er afsluttet. Derudover skal det være muligt at ændre i det registrerede hvis der tilkommer nye informationer om udvikling af symptomer, varighed, behandling, hvorpå årsagssammenhængen også kan skulle revideres.</w:t>
      </w:r>
    </w:p>
    <w:p w14:paraId="3E47F554" w14:textId="77777777" w:rsidR="006E5952" w:rsidRPr="00267B0B" w:rsidRDefault="006E5952" w:rsidP="006E5952">
      <w:pPr>
        <w:spacing w:after="0" w:line="240" w:lineRule="auto"/>
        <w:contextualSpacing/>
        <w:rPr>
          <w:rFonts w:ascii="Calibri" w:eastAsia="Calibri" w:hAnsi="Calibri" w:cs="Calibri"/>
        </w:rPr>
      </w:pPr>
    </w:p>
    <w:p w14:paraId="699B76BF" w14:textId="77777777" w:rsidR="006E5952" w:rsidRPr="00267B0B" w:rsidRDefault="006E5952" w:rsidP="006E5952">
      <w:pPr>
        <w:spacing w:after="0" w:line="240" w:lineRule="auto"/>
        <w:contextualSpacing/>
        <w:rPr>
          <w:rFonts w:ascii="Calibri" w:eastAsia="Calibri" w:hAnsi="Calibri" w:cs="Calibri"/>
        </w:rPr>
      </w:pPr>
    </w:p>
    <w:p w14:paraId="0C27786C" w14:textId="77777777" w:rsidR="006E5952" w:rsidRPr="00267B0B" w:rsidRDefault="006E5952" w:rsidP="006E5952">
      <w:r w:rsidRPr="00267B0B">
        <w:t>Årsrapport</w:t>
      </w:r>
    </w:p>
    <w:p w14:paraId="61438473" w14:textId="0BBBFE7A" w:rsidR="006E5952" w:rsidRPr="00267B0B" w:rsidRDefault="006E5952" w:rsidP="006E5952">
      <w:pPr>
        <w:spacing w:after="0" w:line="240" w:lineRule="auto"/>
        <w:contextualSpacing/>
        <w:rPr>
          <w:rFonts w:ascii="Calibri" w:eastAsia="Calibri" w:hAnsi="Calibri" w:cs="Calibri"/>
        </w:rPr>
      </w:pPr>
      <w:r w:rsidRPr="00267B0B">
        <w:rPr>
          <w:rFonts w:ascii="Calibri" w:eastAsia="Calibri" w:hAnsi="Calibri" w:cs="Calibri"/>
        </w:rPr>
        <w:t xml:space="preserve">Der udarbejdes national årsrapport. Denne udarbejdes af DSKI, </w:t>
      </w:r>
      <w:proofErr w:type="spellStart"/>
      <w:r w:rsidRPr="00267B0B">
        <w:rPr>
          <w:rFonts w:ascii="Calibri" w:eastAsia="Calibri" w:hAnsi="Calibri" w:cs="Calibri"/>
        </w:rPr>
        <w:t>Hæmovigilance</w:t>
      </w:r>
      <w:proofErr w:type="spellEnd"/>
      <w:r w:rsidRPr="00267B0B">
        <w:rPr>
          <w:rFonts w:ascii="Calibri" w:eastAsia="Calibri" w:hAnsi="Calibri" w:cs="Calibri"/>
        </w:rPr>
        <w:t xml:space="preserve"> udvalg på baggrund af indberettede tal fra de 5 regioner.</w:t>
      </w:r>
    </w:p>
    <w:p w14:paraId="763D18F9" w14:textId="77777777" w:rsidR="006E5952" w:rsidRPr="00267B0B" w:rsidRDefault="006E5952" w:rsidP="006E5952">
      <w:pPr>
        <w:spacing w:after="0" w:line="240" w:lineRule="auto"/>
        <w:contextualSpacing/>
        <w:rPr>
          <w:rFonts w:ascii="Calibri" w:eastAsia="Calibri" w:hAnsi="Calibri" w:cs="Calibri"/>
        </w:rPr>
      </w:pPr>
      <w:r w:rsidRPr="00267B0B">
        <w:rPr>
          <w:rFonts w:ascii="Calibri" w:eastAsia="Calibri" w:hAnsi="Calibri" w:cs="Calibri"/>
        </w:rPr>
        <w:t>Følgende data skal indberettes på den enkelte bivirkning (</w:t>
      </w:r>
      <w:proofErr w:type="spellStart"/>
      <w:r w:rsidRPr="00267B0B">
        <w:rPr>
          <w:rFonts w:ascii="Calibri" w:eastAsia="Calibri" w:hAnsi="Calibri" w:cs="Calibri"/>
        </w:rPr>
        <w:t>nominator</w:t>
      </w:r>
      <w:proofErr w:type="spellEnd"/>
      <w:r w:rsidRPr="00267B0B">
        <w:rPr>
          <w:rFonts w:ascii="Calibri" w:eastAsia="Calibri" w:hAnsi="Calibri" w:cs="Calibri"/>
        </w:rPr>
        <w:t>):</w:t>
      </w:r>
    </w:p>
    <w:p w14:paraId="20F40990" w14:textId="77777777" w:rsidR="006E5952" w:rsidRPr="00267B0B" w:rsidRDefault="006E5952" w:rsidP="006E5952">
      <w:pPr>
        <w:pStyle w:val="Opstilling-punkttegn"/>
      </w:pPr>
      <w:r w:rsidRPr="00267B0B">
        <w:t>kategori</w:t>
      </w:r>
    </w:p>
    <w:p w14:paraId="4D1F8B97" w14:textId="77777777" w:rsidR="006E5952" w:rsidRPr="00267B0B" w:rsidRDefault="006E5952" w:rsidP="006E5952">
      <w:pPr>
        <w:pStyle w:val="Opstilling-punkttegn"/>
      </w:pPr>
      <w:r w:rsidRPr="00267B0B">
        <w:t>sværhedsgrad</w:t>
      </w:r>
    </w:p>
    <w:p w14:paraId="4E3AF520" w14:textId="77777777" w:rsidR="006E5952" w:rsidRPr="00267B0B" w:rsidRDefault="006E5952" w:rsidP="006E5952">
      <w:pPr>
        <w:pStyle w:val="Opstilling-punkttegn"/>
      </w:pPr>
      <w:r w:rsidRPr="00267B0B">
        <w:t>årsagssammenhæng</w:t>
      </w:r>
    </w:p>
    <w:p w14:paraId="46DA9B3A" w14:textId="77777777" w:rsidR="006E5952" w:rsidRPr="00267B0B" w:rsidRDefault="006E5952" w:rsidP="006E5952">
      <w:pPr>
        <w:pStyle w:val="Opstilling-punkttegn"/>
      </w:pPr>
      <w:r w:rsidRPr="00267B0B">
        <w:t xml:space="preserve">type af donation (fuldblod, </w:t>
      </w:r>
      <w:proofErr w:type="spellStart"/>
      <w:r w:rsidRPr="00267B0B">
        <w:t>plasmaferese</w:t>
      </w:r>
      <w:proofErr w:type="spellEnd"/>
      <w:r w:rsidRPr="00267B0B">
        <w:t xml:space="preserve">, </w:t>
      </w:r>
      <w:proofErr w:type="spellStart"/>
      <w:r w:rsidRPr="00267B0B">
        <w:t>trombocytaferese</w:t>
      </w:r>
      <w:proofErr w:type="spellEnd"/>
      <w:r w:rsidRPr="00267B0B">
        <w:t>). Håndteres andre typer af donationer, kan det overvejes at inkludere disse, fx donation af stamceller.</w:t>
      </w:r>
    </w:p>
    <w:p w14:paraId="4B81C84D" w14:textId="77777777" w:rsidR="006E5952" w:rsidRPr="00267B0B" w:rsidRDefault="006E5952" w:rsidP="006E5952">
      <w:pPr>
        <w:pStyle w:val="Opstilling-punkttegn"/>
      </w:pPr>
      <w:r w:rsidRPr="00267B0B">
        <w:t>donor køn og alder</w:t>
      </w:r>
    </w:p>
    <w:p w14:paraId="4CEE0FB5" w14:textId="77777777" w:rsidR="006E5952" w:rsidRPr="00267B0B" w:rsidRDefault="006E5952" w:rsidP="006E5952">
      <w:pPr>
        <w:pStyle w:val="Opstilling-punkttegn"/>
      </w:pPr>
      <w:r w:rsidRPr="00267B0B">
        <w:t>førstegangs tapning vs. flergangs donor</w:t>
      </w:r>
    </w:p>
    <w:p w14:paraId="63DD7582" w14:textId="77777777" w:rsidR="006E5952" w:rsidRPr="00267B0B" w:rsidRDefault="006E5952" w:rsidP="006E5952">
      <w:pPr>
        <w:pStyle w:val="Opstilling-punkttegn"/>
      </w:pPr>
      <w:r w:rsidRPr="00267B0B">
        <w:t xml:space="preserve">hvis </w:t>
      </w:r>
      <w:proofErr w:type="spellStart"/>
      <w:r w:rsidRPr="00267B0B">
        <w:t>plasmaferese</w:t>
      </w:r>
      <w:proofErr w:type="spellEnd"/>
      <w:r w:rsidRPr="00267B0B">
        <w:t>, volumen af plasma tappet</w:t>
      </w:r>
    </w:p>
    <w:p w14:paraId="77FE4134" w14:textId="6D9C1ACF" w:rsidR="006E5952" w:rsidRPr="005369AD" w:rsidRDefault="006E5952" w:rsidP="005369AD">
      <w:pPr>
        <w:pStyle w:val="Opstilling-punkttegn"/>
      </w:pPr>
      <w:r w:rsidRPr="00267B0B">
        <w:t>tapning gennemført eller ej</w:t>
      </w:r>
    </w:p>
    <w:p w14:paraId="701862B2" w14:textId="77777777" w:rsidR="006E5952" w:rsidRPr="00267B0B" w:rsidRDefault="006E5952" w:rsidP="006E5952">
      <w:pPr>
        <w:spacing w:after="0" w:line="240" w:lineRule="auto"/>
        <w:contextualSpacing/>
        <w:rPr>
          <w:rFonts w:ascii="Calibri" w:eastAsia="Calibri" w:hAnsi="Calibri" w:cs="Calibri"/>
        </w:rPr>
      </w:pPr>
      <w:r w:rsidRPr="00267B0B">
        <w:rPr>
          <w:rFonts w:ascii="Calibri" w:eastAsia="Calibri" w:hAnsi="Calibri" w:cs="Calibri"/>
        </w:rPr>
        <w:tab/>
      </w:r>
    </w:p>
    <w:p w14:paraId="728F3BC6" w14:textId="77777777" w:rsidR="006E5952" w:rsidRPr="00267B0B" w:rsidRDefault="006E5952" w:rsidP="006E5952">
      <w:pPr>
        <w:spacing w:after="0" w:line="240" w:lineRule="auto"/>
        <w:contextualSpacing/>
        <w:rPr>
          <w:rFonts w:ascii="Calibri" w:eastAsia="Calibri" w:hAnsi="Calibri" w:cs="Calibri"/>
        </w:rPr>
      </w:pPr>
      <w:r w:rsidRPr="00267B0B">
        <w:rPr>
          <w:rFonts w:ascii="Calibri" w:eastAsia="Calibri" w:hAnsi="Calibri" w:cs="Calibri"/>
        </w:rPr>
        <w:t>Data indberettes både som absolutte tal, men også som en ratio i forhold til det samlede antal donationer opgjort på nedenstående (</w:t>
      </w:r>
      <w:proofErr w:type="spellStart"/>
      <w:r w:rsidRPr="00267B0B">
        <w:rPr>
          <w:rFonts w:ascii="Calibri" w:eastAsia="Calibri" w:hAnsi="Calibri" w:cs="Calibri"/>
        </w:rPr>
        <w:t>denominator</w:t>
      </w:r>
      <w:proofErr w:type="spellEnd"/>
      <w:r w:rsidRPr="00267B0B">
        <w:rPr>
          <w:rFonts w:ascii="Calibri" w:eastAsia="Calibri" w:hAnsi="Calibri" w:cs="Calibri"/>
        </w:rPr>
        <w:t>):</w:t>
      </w:r>
    </w:p>
    <w:p w14:paraId="7BF51788" w14:textId="77777777" w:rsidR="006E5952" w:rsidRPr="00267B0B" w:rsidRDefault="006E5952" w:rsidP="006E5952">
      <w:pPr>
        <w:pStyle w:val="Opstilling-punkttegn"/>
      </w:pPr>
      <w:r w:rsidRPr="00267B0B">
        <w:t xml:space="preserve">Total antal fuldblods-donationer </w:t>
      </w:r>
    </w:p>
    <w:p w14:paraId="0494BF4F" w14:textId="77777777" w:rsidR="006E5952" w:rsidRPr="00267B0B" w:rsidRDefault="006E5952" w:rsidP="006E5952">
      <w:pPr>
        <w:pStyle w:val="Opstilling-punkttegn"/>
      </w:pPr>
      <w:r w:rsidRPr="00267B0B">
        <w:t xml:space="preserve">Total antal </w:t>
      </w:r>
      <w:proofErr w:type="spellStart"/>
      <w:r w:rsidRPr="00267B0B">
        <w:t>plasmafereser</w:t>
      </w:r>
      <w:proofErr w:type="spellEnd"/>
    </w:p>
    <w:p w14:paraId="597BF9C3" w14:textId="77777777" w:rsidR="006E5952" w:rsidRPr="00267B0B" w:rsidRDefault="006E5952" w:rsidP="006E5952">
      <w:pPr>
        <w:pStyle w:val="Opstilling-punkttegn"/>
      </w:pPr>
      <w:r w:rsidRPr="00267B0B">
        <w:t xml:space="preserve">Total antal </w:t>
      </w:r>
      <w:proofErr w:type="spellStart"/>
      <w:r w:rsidRPr="00267B0B">
        <w:t>trombocytafereser</w:t>
      </w:r>
      <w:proofErr w:type="spellEnd"/>
    </w:p>
    <w:p w14:paraId="0429934C" w14:textId="77777777" w:rsidR="006E5952" w:rsidRPr="00267B0B" w:rsidRDefault="006E5952" w:rsidP="006E5952">
      <w:pPr>
        <w:pStyle w:val="Opstilling-punkttegn"/>
      </w:pPr>
      <w:r w:rsidRPr="00267B0B">
        <w:t>Total antal donationer fra kvinder</w:t>
      </w:r>
    </w:p>
    <w:p w14:paraId="4A047BD6" w14:textId="77777777" w:rsidR="006E5952" w:rsidRPr="00267B0B" w:rsidRDefault="006E5952" w:rsidP="006E5952">
      <w:pPr>
        <w:pStyle w:val="Opstilling-punkttegn"/>
      </w:pPr>
      <w:r w:rsidRPr="00267B0B">
        <w:t>Total antal donationer fra mænd</w:t>
      </w:r>
    </w:p>
    <w:p w14:paraId="290FA78C" w14:textId="77777777" w:rsidR="006E5952" w:rsidRPr="00267B0B" w:rsidRDefault="006E5952" w:rsidP="006E5952">
      <w:pPr>
        <w:pStyle w:val="Opstilling-punkttegn"/>
      </w:pPr>
      <w:r w:rsidRPr="00267B0B">
        <w:t>Total antal donationer fra første-gangs donorer</w:t>
      </w:r>
    </w:p>
    <w:p w14:paraId="589B616D" w14:textId="77777777" w:rsidR="006E5952" w:rsidRPr="00267B0B" w:rsidRDefault="006E5952" w:rsidP="006E5952">
      <w:pPr>
        <w:pStyle w:val="Opstilling-punkttegn"/>
      </w:pPr>
      <w:r w:rsidRPr="00267B0B">
        <w:t>Total antal donationer fra flergangsdonorer</w:t>
      </w:r>
    </w:p>
    <w:p w14:paraId="73F87DE5" w14:textId="6D946C6E" w:rsidR="00EE3CAC" w:rsidRDefault="006E5952" w:rsidP="007B5A0A">
      <w:pPr>
        <w:pStyle w:val="Opstilling-punkttegn"/>
      </w:pPr>
      <w:r w:rsidRPr="00267B0B">
        <w:t>Total antal donationer fordelt på aldersgrupper (17-18, 19-22, 23-29, 30-69, &gt;70 år)</w:t>
      </w:r>
    </w:p>
    <w:p w14:paraId="3B723914" w14:textId="0E553FB4" w:rsidR="00EE3CAC" w:rsidRPr="005369AD" w:rsidRDefault="00AA45BC" w:rsidP="006E5952">
      <w:pPr>
        <w:pStyle w:val="Overskrift2"/>
        <w:rPr>
          <w:b/>
          <w:bCs/>
        </w:rPr>
      </w:pPr>
      <w:bookmarkStart w:id="25" w:name="_Toc170715532"/>
      <w:r>
        <w:rPr>
          <w:noProof/>
          <w:lang w:eastAsia="da-DK"/>
        </w:rPr>
        <w:lastRenderedPageBreak/>
        <mc:AlternateContent>
          <mc:Choice Requires="wpg">
            <w:drawing>
              <wp:anchor distT="0" distB="0" distL="114300" distR="114300" simplePos="0" relativeHeight="251659264" behindDoc="1" locked="0" layoutInCell="1" allowOverlap="1" wp14:anchorId="5AD52A64" wp14:editId="614010C7">
                <wp:simplePos x="0" y="0"/>
                <wp:positionH relativeFrom="margin">
                  <wp:posOffset>-2540</wp:posOffset>
                </wp:positionH>
                <wp:positionV relativeFrom="paragraph">
                  <wp:posOffset>202565</wp:posOffset>
                </wp:positionV>
                <wp:extent cx="6257925" cy="8312150"/>
                <wp:effectExtent l="0" t="0" r="28575" b="12700"/>
                <wp:wrapTight wrapText="bothSides">
                  <wp:wrapPolygon edited="0">
                    <wp:start x="3090" y="0"/>
                    <wp:lineTo x="3090" y="792"/>
                    <wp:lineTo x="2499" y="1584"/>
                    <wp:lineTo x="395" y="1634"/>
                    <wp:lineTo x="197" y="1683"/>
                    <wp:lineTo x="66" y="4752"/>
                    <wp:lineTo x="66" y="11930"/>
                    <wp:lineTo x="2301" y="12673"/>
                    <wp:lineTo x="2433" y="14257"/>
                    <wp:lineTo x="0" y="14752"/>
                    <wp:lineTo x="0" y="15742"/>
                    <wp:lineTo x="10718" y="15841"/>
                    <wp:lineTo x="526" y="16138"/>
                    <wp:lineTo x="0" y="16138"/>
                    <wp:lineTo x="0" y="21583"/>
                    <wp:lineTo x="21633" y="21583"/>
                    <wp:lineTo x="21633" y="16138"/>
                    <wp:lineTo x="21107" y="16138"/>
                    <wp:lineTo x="10981" y="15841"/>
                    <wp:lineTo x="21633" y="15742"/>
                    <wp:lineTo x="21633" y="2970"/>
                    <wp:lineTo x="19397" y="2376"/>
                    <wp:lineTo x="19529" y="1634"/>
                    <wp:lineTo x="19003" y="1584"/>
                    <wp:lineTo x="17162" y="1485"/>
                    <wp:lineTo x="17030" y="0"/>
                    <wp:lineTo x="3090" y="0"/>
                  </wp:wrapPolygon>
                </wp:wrapTight>
                <wp:docPr id="1" name="Gruppe 1"/>
                <wp:cNvGraphicFramePr/>
                <a:graphic xmlns:a="http://schemas.openxmlformats.org/drawingml/2006/main">
                  <a:graphicData uri="http://schemas.microsoft.com/office/word/2010/wordprocessingGroup">
                    <wpg:wgp>
                      <wpg:cNvGrpSpPr/>
                      <wpg:grpSpPr>
                        <a:xfrm>
                          <a:off x="0" y="0"/>
                          <a:ext cx="6257925" cy="8312150"/>
                          <a:chOff x="6350" y="725155"/>
                          <a:chExt cx="6609769" cy="8017781"/>
                        </a:xfrm>
                      </wpg:grpSpPr>
                      <wps:wsp>
                        <wps:cNvPr id="2" name="Tekstfelt 2"/>
                        <wps:cNvSpPr txBox="1"/>
                        <wps:spPr>
                          <a:xfrm>
                            <a:off x="994504" y="725155"/>
                            <a:ext cx="4181475" cy="387134"/>
                          </a:xfrm>
                          <a:prstGeom prst="rect">
                            <a:avLst/>
                          </a:prstGeom>
                          <a:solidFill>
                            <a:sysClr val="window" lastClr="FFFFFF"/>
                          </a:solidFill>
                          <a:ln w="6350">
                            <a:solidFill>
                              <a:prstClr val="black"/>
                            </a:solidFill>
                          </a:ln>
                        </wps:spPr>
                        <wps:txbx>
                          <w:txbxContent>
                            <w:p w14:paraId="368C2192" w14:textId="6DCAE378" w:rsidR="00046A73" w:rsidRPr="005E40DD" w:rsidRDefault="00046A73" w:rsidP="005E40DD">
                              <w:pPr>
                                <w:pStyle w:val="Brdtekst3"/>
                                <w:rPr>
                                  <w:rFonts w:asciiTheme="minorHAnsi" w:hAnsiTheme="minorHAnsi" w:cstheme="minorHAnsi"/>
                                </w:rPr>
                              </w:pPr>
                              <w:r w:rsidRPr="005E40DD">
                                <w:rPr>
                                  <w:rFonts w:asciiTheme="minorHAnsi" w:hAnsiTheme="minorHAnsi" w:cstheme="minorHAnsi"/>
                                </w:rPr>
                                <w:t>Er der tale om en donorbivirkning?</w:t>
                              </w:r>
                              <w:r w:rsidRPr="005E40DD">
                                <w:rPr>
                                  <w:rFonts w:asciiTheme="minorHAnsi" w:hAnsiTheme="minorHAnsi" w:cstheme="minorHAnsi"/>
                                </w:rPr>
                                <w:br/>
                                <w:t xml:space="preserve"> (se</w:t>
                              </w:r>
                              <w:r>
                                <w:rPr>
                                  <w:rFonts w:asciiTheme="minorHAnsi" w:hAnsiTheme="minorHAnsi" w:cstheme="minorHAnsi"/>
                                </w:rPr>
                                <w:t xml:space="preserve"> evt. bivirkningskategorier og definitioner tabel 1 i bilag 1</w:t>
                              </w:r>
                              <w:r w:rsidRPr="005E40DD">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kstfelt 4"/>
                        <wps:cNvSpPr txBox="1"/>
                        <wps:spPr>
                          <a:xfrm>
                            <a:off x="172445" y="1354182"/>
                            <a:ext cx="1220470" cy="266065"/>
                          </a:xfrm>
                          <a:prstGeom prst="rect">
                            <a:avLst/>
                          </a:prstGeom>
                          <a:solidFill>
                            <a:sysClr val="window" lastClr="FFFFFF"/>
                          </a:solidFill>
                          <a:ln w="6350">
                            <a:solidFill>
                              <a:prstClr val="black"/>
                            </a:solidFill>
                          </a:ln>
                        </wps:spPr>
                        <wps:txbx>
                          <w:txbxContent>
                            <w:p w14:paraId="38F0B4E2" w14:textId="77777777" w:rsidR="00046A73" w:rsidRPr="005E40DD" w:rsidRDefault="00046A73" w:rsidP="005E40DD">
                              <w:pPr>
                                <w:jc w:val="center"/>
                                <w:rPr>
                                  <w:rFonts w:cstheme="minorHAnsi"/>
                                  <w:sz w:val="18"/>
                                  <w:szCs w:val="18"/>
                                </w:rPr>
                              </w:pPr>
                              <w:r w:rsidRPr="005E40DD">
                                <w:rPr>
                                  <w:rFonts w:cstheme="minorHAnsi"/>
                                  <w:sz w:val="18"/>
                                  <w:szCs w:val="18"/>
                                </w:rP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felt 5"/>
                        <wps:cNvSpPr txBox="1"/>
                        <wps:spPr>
                          <a:xfrm>
                            <a:off x="4196549" y="1332485"/>
                            <a:ext cx="1702800" cy="266400"/>
                          </a:xfrm>
                          <a:prstGeom prst="rect">
                            <a:avLst/>
                          </a:prstGeom>
                          <a:solidFill>
                            <a:sysClr val="window" lastClr="FFFFFF"/>
                          </a:solidFill>
                          <a:ln w="6350">
                            <a:solidFill>
                              <a:prstClr val="black"/>
                            </a:solidFill>
                          </a:ln>
                        </wps:spPr>
                        <wps:txbx>
                          <w:txbxContent>
                            <w:p w14:paraId="05580996" w14:textId="77777777" w:rsidR="00046A73" w:rsidRPr="005E40DD" w:rsidRDefault="00046A73" w:rsidP="005E40DD">
                              <w:pPr>
                                <w:jc w:val="center"/>
                                <w:rPr>
                                  <w:rFonts w:cstheme="minorHAnsi"/>
                                  <w:sz w:val="18"/>
                                  <w:szCs w:val="18"/>
                                </w:rPr>
                              </w:pPr>
                              <w:r w:rsidRPr="005E40DD">
                                <w:rPr>
                                  <w:rFonts w:cstheme="minorHAnsi"/>
                                  <w:sz w:val="18"/>
                                  <w:szCs w:val="18"/>
                                </w:rPr>
                                <w:t xml:space="preserve">Ja, sværhedsgrad </w:t>
                              </w:r>
                              <w:r w:rsidRPr="005E40DD">
                                <w:rPr>
                                  <w:rFonts w:cstheme="minorHAnsi"/>
                                  <w:sz w:val="18"/>
                                  <w:szCs w:val="18"/>
                                  <w:u w:val="single"/>
                                </w:rPr>
                                <w:t>&gt;</w:t>
                              </w:r>
                              <w:r w:rsidRPr="005E40DD">
                                <w:rPr>
                                  <w:rFonts w:cstheme="minorHAnsi"/>
                                  <w:sz w:val="18"/>
                                  <w:szCs w:val="18"/>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kstfelt 6"/>
                        <wps:cNvSpPr txBox="1"/>
                        <wps:spPr>
                          <a:xfrm>
                            <a:off x="116216" y="1358145"/>
                            <a:ext cx="1357630" cy="266065"/>
                          </a:xfrm>
                          <a:prstGeom prst="rect">
                            <a:avLst/>
                          </a:prstGeom>
                          <a:solidFill>
                            <a:sysClr val="window" lastClr="FFFFFF"/>
                          </a:solidFill>
                          <a:ln w="6350">
                            <a:solidFill>
                              <a:prstClr val="black"/>
                            </a:solidFill>
                          </a:ln>
                        </wps:spPr>
                        <wps:txbx>
                          <w:txbxContent>
                            <w:p w14:paraId="1D747DE9" w14:textId="77777777" w:rsidR="00046A73" w:rsidRPr="005E40DD" w:rsidRDefault="00046A73" w:rsidP="005E40DD">
                              <w:pPr>
                                <w:jc w:val="center"/>
                                <w:rPr>
                                  <w:rFonts w:cstheme="minorHAnsi"/>
                                  <w:sz w:val="18"/>
                                  <w:szCs w:val="18"/>
                                </w:rPr>
                              </w:pPr>
                              <w:r w:rsidRPr="005E40DD">
                                <w:rPr>
                                  <w:rFonts w:cstheme="minorHAnsi"/>
                                  <w:sz w:val="18"/>
                                  <w:szCs w:val="18"/>
                                </w:rPr>
                                <w:t>Ja, sværhedsgrad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Lige pilforbindelse 7"/>
                        <wps:cNvCnPr/>
                        <wps:spPr>
                          <a:xfrm flipH="1">
                            <a:off x="809587" y="1197362"/>
                            <a:ext cx="222932" cy="116244"/>
                          </a:xfrm>
                          <a:prstGeom prst="straightConnector1">
                            <a:avLst/>
                          </a:prstGeom>
                          <a:noFill/>
                          <a:ln w="6350" cap="flat" cmpd="sng" algn="ctr">
                            <a:solidFill>
                              <a:srgbClr val="4472C4"/>
                            </a:solidFill>
                            <a:prstDash val="solid"/>
                            <a:miter lim="800000"/>
                            <a:tailEnd type="triangle"/>
                          </a:ln>
                          <a:effectLst/>
                        </wps:spPr>
                        <wps:bodyPr/>
                      </wps:wsp>
                      <wps:wsp>
                        <wps:cNvPr id="8" name="Lige pilforbindelse 8"/>
                        <wps:cNvCnPr/>
                        <wps:spPr>
                          <a:xfrm>
                            <a:off x="4761985" y="1150147"/>
                            <a:ext cx="184064" cy="122705"/>
                          </a:xfrm>
                          <a:prstGeom prst="straightConnector1">
                            <a:avLst/>
                          </a:prstGeom>
                          <a:noFill/>
                          <a:ln w="6350" cap="flat" cmpd="sng" algn="ctr">
                            <a:solidFill>
                              <a:srgbClr val="4472C4"/>
                            </a:solidFill>
                            <a:prstDash val="solid"/>
                            <a:miter lim="800000"/>
                            <a:tailEnd type="triangle"/>
                          </a:ln>
                          <a:effectLst/>
                        </wps:spPr>
                        <wps:bodyPr/>
                      </wps:wsp>
                      <wps:wsp>
                        <wps:cNvPr id="10" name="Tekstfelt 10"/>
                        <wps:cNvSpPr txBox="1"/>
                        <wps:spPr>
                          <a:xfrm>
                            <a:off x="60001" y="1867304"/>
                            <a:ext cx="1448710" cy="3286313"/>
                          </a:xfrm>
                          <a:prstGeom prst="rect">
                            <a:avLst/>
                          </a:prstGeom>
                          <a:solidFill>
                            <a:sysClr val="window" lastClr="FFFFFF"/>
                          </a:solidFill>
                          <a:ln w="6350">
                            <a:solidFill>
                              <a:prstClr val="black"/>
                            </a:solidFill>
                          </a:ln>
                        </wps:spPr>
                        <wps:txbx>
                          <w:txbxContent>
                            <w:p w14:paraId="190F12E3" w14:textId="77777777" w:rsidR="00046A73" w:rsidRPr="005E40DD" w:rsidRDefault="00046A73" w:rsidP="005E40DD">
                              <w:pPr>
                                <w:pStyle w:val="Listeafsnit"/>
                                <w:ind w:left="426"/>
                                <w:rPr>
                                  <w:rFonts w:cstheme="minorHAnsi"/>
                                  <w:sz w:val="18"/>
                                  <w:szCs w:val="18"/>
                                </w:rPr>
                              </w:pPr>
                            </w:p>
                            <w:p w14:paraId="68D09B90" w14:textId="77777777" w:rsidR="00046A73" w:rsidRDefault="00046A73" w:rsidP="0019762E">
                              <w:pPr>
                                <w:pStyle w:val="Listeafsnit"/>
                                <w:numPr>
                                  <w:ilvl w:val="0"/>
                                  <w:numId w:val="4"/>
                                </w:numPr>
                                <w:ind w:left="426" w:hanging="284"/>
                                <w:rPr>
                                  <w:rFonts w:cstheme="minorHAnsi"/>
                                  <w:sz w:val="18"/>
                                  <w:szCs w:val="18"/>
                                </w:rPr>
                              </w:pPr>
                              <w:r w:rsidRPr="005E40DD">
                                <w:rPr>
                                  <w:rFonts w:cstheme="minorHAnsi"/>
                                  <w:sz w:val="18"/>
                                  <w:szCs w:val="18"/>
                                </w:rPr>
                                <w:t>Anmod donor om at kontakte blodbanken, hvis gener forværres, kræver behandling, påvirker dagligdagen eller varer ud</w:t>
                              </w:r>
                              <w:r w:rsidRPr="0019762E">
                                <w:rPr>
                                  <w:rFonts w:cstheme="minorHAnsi"/>
                                  <w:sz w:val="18"/>
                                  <w:szCs w:val="18"/>
                                </w:rPr>
                                <w:t>over 2 uger.</w:t>
                              </w:r>
                            </w:p>
                            <w:p w14:paraId="2732F80D" w14:textId="77777777" w:rsidR="00046A73" w:rsidRPr="005E40DD" w:rsidRDefault="00046A73" w:rsidP="005E40DD">
                              <w:pPr>
                                <w:pStyle w:val="Listeafsnit"/>
                                <w:numPr>
                                  <w:ilvl w:val="0"/>
                                  <w:numId w:val="4"/>
                                </w:numPr>
                                <w:ind w:left="426" w:hanging="284"/>
                                <w:rPr>
                                  <w:rFonts w:cstheme="minorHAnsi"/>
                                  <w:sz w:val="18"/>
                                  <w:szCs w:val="18"/>
                                </w:rPr>
                              </w:pPr>
                              <w:r w:rsidRPr="005E40DD">
                                <w:rPr>
                                  <w:rFonts w:cstheme="minorHAnsi"/>
                                  <w:sz w:val="18"/>
                                  <w:szCs w:val="18"/>
                                </w:rPr>
                                <w:t>Registrér bivirkningskoden i blodbankens it-system.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kstfelt 11"/>
                        <wps:cNvSpPr txBox="1"/>
                        <wps:spPr>
                          <a:xfrm>
                            <a:off x="2286737" y="1848928"/>
                            <a:ext cx="4329382" cy="4223456"/>
                          </a:xfrm>
                          <a:prstGeom prst="rect">
                            <a:avLst/>
                          </a:prstGeom>
                          <a:solidFill>
                            <a:sysClr val="window" lastClr="FFFFFF"/>
                          </a:solidFill>
                          <a:ln w="6350">
                            <a:solidFill>
                              <a:prstClr val="black"/>
                            </a:solidFill>
                          </a:ln>
                        </wps:spPr>
                        <wps:txbx>
                          <w:txbxContent>
                            <w:p w14:paraId="730D2D09" w14:textId="77777777" w:rsidR="009B39FE" w:rsidRDefault="009B39FE" w:rsidP="009B39FE">
                              <w:pPr>
                                <w:rPr>
                                  <w:rFonts w:cstheme="minorHAnsi"/>
                                  <w:b/>
                                  <w:sz w:val="18"/>
                                  <w:szCs w:val="18"/>
                                </w:rPr>
                              </w:pPr>
                              <w:r>
                                <w:rPr>
                                  <w:rFonts w:cstheme="minorHAnsi"/>
                                  <w:b/>
                                  <w:sz w:val="18"/>
                                  <w:szCs w:val="18"/>
                                </w:rPr>
                                <w:t>Personale der får besked fra donor ang. bivirkningen:</w:t>
                              </w:r>
                            </w:p>
                            <w:p w14:paraId="5B85AA87" w14:textId="77777777" w:rsidR="009B39FE" w:rsidRDefault="009B39FE" w:rsidP="009B39FE">
                              <w:pPr>
                                <w:pStyle w:val="Listeafsnit"/>
                                <w:numPr>
                                  <w:ilvl w:val="0"/>
                                  <w:numId w:val="7"/>
                                </w:numPr>
                                <w:rPr>
                                  <w:rFonts w:cstheme="minorHAnsi"/>
                                  <w:sz w:val="18"/>
                                  <w:szCs w:val="18"/>
                                </w:rPr>
                              </w:pPr>
                              <w:r>
                                <w:rPr>
                                  <w:rFonts w:cstheme="minorHAnsi"/>
                                  <w:sz w:val="18"/>
                                  <w:szCs w:val="18"/>
                                </w:rPr>
                                <w:t>Kontakt læge i blodbanken (vagthavende læge).</w:t>
                              </w:r>
                            </w:p>
                            <w:p w14:paraId="31EBEB6A" w14:textId="77777777" w:rsidR="009B39FE" w:rsidRDefault="009B39FE" w:rsidP="009B39FE">
                              <w:pPr>
                                <w:pStyle w:val="Listeafsnit"/>
                                <w:numPr>
                                  <w:ilvl w:val="0"/>
                                  <w:numId w:val="7"/>
                                </w:numPr>
                                <w:rPr>
                                  <w:rFonts w:cstheme="minorHAnsi"/>
                                  <w:sz w:val="18"/>
                                  <w:szCs w:val="18"/>
                                </w:rPr>
                              </w:pPr>
                              <w:r>
                                <w:rPr>
                                  <w:rFonts w:cstheme="minorHAnsi"/>
                                  <w:sz w:val="18"/>
                                  <w:szCs w:val="18"/>
                                </w:rPr>
                                <w:t>Kort beskrivelse af bivirkningen og ID på lægen i blodbankens it-system.</w:t>
                              </w:r>
                            </w:p>
                            <w:p w14:paraId="42B30A57" w14:textId="77777777" w:rsidR="009B39FE" w:rsidRDefault="009B39FE" w:rsidP="009B39FE">
                              <w:pPr>
                                <w:pStyle w:val="Listeafsnit"/>
                                <w:numPr>
                                  <w:ilvl w:val="0"/>
                                  <w:numId w:val="7"/>
                                </w:numPr>
                                <w:rPr>
                                  <w:rFonts w:cstheme="minorHAnsi"/>
                                  <w:sz w:val="18"/>
                                  <w:szCs w:val="18"/>
                                </w:rPr>
                              </w:pPr>
                              <w:r>
                                <w:rPr>
                                  <w:rFonts w:cstheme="minorHAnsi"/>
                                  <w:sz w:val="18"/>
                                  <w:szCs w:val="18"/>
                                </w:rPr>
                                <w:t xml:space="preserve">Registrér bivirkningskoden i </w:t>
                              </w:r>
                              <w:proofErr w:type="spellStart"/>
                              <w:r>
                                <w:rPr>
                                  <w:rFonts w:cstheme="minorHAnsi"/>
                                  <w:sz w:val="18"/>
                                  <w:szCs w:val="18"/>
                                </w:rPr>
                                <w:t>ProSang</w:t>
                              </w:r>
                              <w:proofErr w:type="spellEnd"/>
                              <w:r>
                                <w:rPr>
                                  <w:rFonts w:cstheme="minorHAnsi"/>
                                  <w:sz w:val="18"/>
                                  <w:szCs w:val="18"/>
                                </w:rPr>
                                <w:t>.</w:t>
                              </w:r>
                            </w:p>
                            <w:p w14:paraId="69A0745C" w14:textId="77777777" w:rsidR="009B39FE" w:rsidRDefault="009B39FE" w:rsidP="009B39FE">
                              <w:pPr>
                                <w:pStyle w:val="Listeafsnit"/>
                                <w:numPr>
                                  <w:ilvl w:val="0"/>
                                  <w:numId w:val="7"/>
                                </w:numPr>
                                <w:rPr>
                                  <w:rFonts w:cstheme="minorHAnsi"/>
                                  <w:sz w:val="18"/>
                                  <w:szCs w:val="18"/>
                                </w:rPr>
                              </w:pPr>
                              <w:r>
                                <w:rPr>
                                  <w:rFonts w:cstheme="minorHAnsi"/>
                                  <w:sz w:val="18"/>
                                  <w:szCs w:val="18"/>
                                </w:rPr>
                                <w:t xml:space="preserve">Bloker donor for indkald i en periode på 3-6 mdr. Informer evt. donor om at denne kan ophæves før hvis generne ophører. </w:t>
                              </w:r>
                            </w:p>
                            <w:p w14:paraId="4B9CD592" w14:textId="77777777" w:rsidR="009B39FE" w:rsidRDefault="009B39FE" w:rsidP="009B39FE">
                              <w:pPr>
                                <w:rPr>
                                  <w:rFonts w:cstheme="minorHAnsi"/>
                                  <w:b/>
                                  <w:sz w:val="18"/>
                                  <w:szCs w:val="18"/>
                                </w:rPr>
                              </w:pPr>
                              <w:r>
                                <w:rPr>
                                  <w:rFonts w:cstheme="minorHAnsi"/>
                                  <w:b/>
                                  <w:sz w:val="18"/>
                                  <w:szCs w:val="18"/>
                                </w:rPr>
                                <w:t>Læge:</w:t>
                              </w:r>
                            </w:p>
                            <w:p w14:paraId="5ABA2E4F" w14:textId="77777777" w:rsidR="009B39FE" w:rsidRDefault="009B39FE" w:rsidP="009B39FE">
                              <w:pPr>
                                <w:pStyle w:val="Listeafsnit"/>
                                <w:numPr>
                                  <w:ilvl w:val="0"/>
                                  <w:numId w:val="8"/>
                                </w:numPr>
                                <w:rPr>
                                  <w:rFonts w:cstheme="minorHAnsi"/>
                                  <w:sz w:val="18"/>
                                  <w:szCs w:val="18"/>
                                </w:rPr>
                              </w:pPr>
                              <w:r>
                                <w:rPr>
                                  <w:rFonts w:cstheme="minorHAnsi"/>
                                  <w:sz w:val="18"/>
                                  <w:szCs w:val="18"/>
                                </w:rPr>
                                <w:t>Vurdér bivirkningen og evt. behov for yderligere behandling/udredning. Informer donor om forventet forløb.</w:t>
                              </w:r>
                            </w:p>
                            <w:p w14:paraId="338F7899" w14:textId="77777777" w:rsidR="009B39FE" w:rsidRDefault="009B39FE" w:rsidP="009B39FE">
                              <w:pPr>
                                <w:pStyle w:val="Listeafsnit"/>
                                <w:numPr>
                                  <w:ilvl w:val="1"/>
                                  <w:numId w:val="8"/>
                                </w:numPr>
                                <w:rPr>
                                  <w:rFonts w:cstheme="minorHAnsi"/>
                                  <w:sz w:val="18"/>
                                  <w:szCs w:val="18"/>
                                </w:rPr>
                              </w:pPr>
                              <w:r>
                                <w:rPr>
                                  <w:rFonts w:cstheme="minorHAnsi"/>
                                  <w:sz w:val="18"/>
                                  <w:szCs w:val="18"/>
                                </w:rPr>
                                <w:t>Ved iværksat udredning/behandling: aftal med donor at denne henvender sig når resultat foreligger/ ved manglende effekt af behandling. Der er ingen rutineopfølgning på donorskader, forløbet aftales individuelt.</w:t>
                              </w:r>
                            </w:p>
                            <w:p w14:paraId="22124EA4" w14:textId="77777777" w:rsidR="009B39FE" w:rsidRDefault="009B39FE" w:rsidP="009B39FE">
                              <w:pPr>
                                <w:pStyle w:val="Listeafsnit"/>
                                <w:numPr>
                                  <w:ilvl w:val="0"/>
                                  <w:numId w:val="8"/>
                                </w:numPr>
                                <w:rPr>
                                  <w:rFonts w:cstheme="minorHAnsi"/>
                                  <w:sz w:val="18"/>
                                  <w:szCs w:val="18"/>
                                </w:rPr>
                              </w:pPr>
                              <w:r>
                                <w:rPr>
                                  <w:rFonts w:cstheme="minorHAnsi"/>
                                  <w:sz w:val="18"/>
                                  <w:szCs w:val="18"/>
                                </w:rPr>
                                <w:t>Journalfør beskrivelse af bivirkningen i blodbankens it-system.</w:t>
                              </w:r>
                            </w:p>
                            <w:p w14:paraId="335FA0E0" w14:textId="77777777" w:rsidR="009B39FE" w:rsidRDefault="009B39FE" w:rsidP="009B39FE">
                              <w:pPr>
                                <w:pStyle w:val="Listeafsnit"/>
                                <w:numPr>
                                  <w:ilvl w:val="0"/>
                                  <w:numId w:val="8"/>
                                </w:numPr>
                                <w:rPr>
                                  <w:rFonts w:cstheme="minorHAnsi"/>
                                  <w:sz w:val="18"/>
                                  <w:szCs w:val="18"/>
                                </w:rPr>
                              </w:pPr>
                              <w:r>
                                <w:rPr>
                                  <w:rFonts w:cstheme="minorHAnsi"/>
                                  <w:sz w:val="18"/>
                                  <w:szCs w:val="18"/>
                                </w:rPr>
                                <w:t>Anmod donor om at kontakte blodbanken igen ved forværring eller manglende bedring.</w:t>
                              </w:r>
                            </w:p>
                            <w:p w14:paraId="76AB8D29" w14:textId="77777777" w:rsidR="009B39FE" w:rsidRDefault="009B39FE" w:rsidP="009B39FE">
                              <w:pPr>
                                <w:pStyle w:val="Listeafsnit"/>
                                <w:numPr>
                                  <w:ilvl w:val="0"/>
                                  <w:numId w:val="8"/>
                                </w:numPr>
                                <w:rPr>
                                  <w:rFonts w:cstheme="minorHAnsi"/>
                                  <w:sz w:val="18"/>
                                  <w:szCs w:val="18"/>
                                </w:rPr>
                              </w:pPr>
                              <w:r>
                                <w:rPr>
                                  <w:rFonts w:cstheme="minorHAnsi"/>
                                  <w:sz w:val="18"/>
                                  <w:szCs w:val="18"/>
                                </w:rPr>
                                <w:t xml:space="preserve">Vurder om det er relevant at informere donor om muligheden for at søge erstatning. I </w:t>
                              </w:r>
                              <w:proofErr w:type="spellStart"/>
                              <w:r>
                                <w:rPr>
                                  <w:rFonts w:cstheme="minorHAnsi"/>
                                  <w:sz w:val="18"/>
                                  <w:szCs w:val="18"/>
                                </w:rPr>
                                <w:t>såfald</w:t>
                              </w:r>
                              <w:proofErr w:type="spellEnd"/>
                              <w:r>
                                <w:rPr>
                                  <w:rFonts w:cstheme="minorHAnsi"/>
                                  <w:sz w:val="18"/>
                                  <w:szCs w:val="18"/>
                                </w:rPr>
                                <w:t xml:space="preserve"> udlevér eller henvis til pjecen fra Patienterstatningen "Skade ved bloddonation" Den er tilgængelig på bloddonor.dk </w:t>
                              </w:r>
                            </w:p>
                            <w:p w14:paraId="2E534B4B" w14:textId="77777777" w:rsidR="009B39FE" w:rsidRDefault="009B39FE" w:rsidP="009B39FE">
                              <w:pPr>
                                <w:pStyle w:val="Listeafsnit"/>
                                <w:numPr>
                                  <w:ilvl w:val="0"/>
                                  <w:numId w:val="8"/>
                                </w:numPr>
                                <w:rPr>
                                  <w:rFonts w:cstheme="minorHAnsi"/>
                                  <w:sz w:val="18"/>
                                  <w:szCs w:val="18"/>
                                </w:rPr>
                              </w:pPr>
                              <w:r>
                                <w:rPr>
                                  <w:rFonts w:cstheme="minorHAnsi"/>
                                  <w:sz w:val="18"/>
                                  <w:szCs w:val="18"/>
                                </w:rPr>
                                <w:t xml:space="preserve">Ved behov, rediger bivirkningskoden i </w:t>
                              </w:r>
                              <w:proofErr w:type="spellStart"/>
                              <w:r>
                                <w:rPr>
                                  <w:rFonts w:cstheme="minorHAnsi"/>
                                  <w:sz w:val="18"/>
                                  <w:szCs w:val="18"/>
                                </w:rPr>
                                <w:t>ProSang</w:t>
                              </w:r>
                              <w:proofErr w:type="spellEnd"/>
                              <w:r>
                                <w:rPr>
                                  <w:rFonts w:cstheme="minorHAnsi"/>
                                  <w:sz w:val="18"/>
                                  <w:szCs w:val="18"/>
                                </w:rPr>
                                <w:t>.</w:t>
                              </w:r>
                            </w:p>
                            <w:p w14:paraId="4C7C3737" w14:textId="77777777" w:rsidR="009B39FE" w:rsidRDefault="009B39FE" w:rsidP="009B39FE">
                              <w:pPr>
                                <w:pStyle w:val="Listeafsnit"/>
                                <w:numPr>
                                  <w:ilvl w:val="0"/>
                                  <w:numId w:val="8"/>
                                </w:numPr>
                                <w:rPr>
                                  <w:rFonts w:cstheme="minorHAnsi"/>
                                  <w:sz w:val="18"/>
                                  <w:szCs w:val="18"/>
                                </w:rPr>
                              </w:pPr>
                              <w:r>
                                <w:rPr>
                                  <w:rFonts w:cstheme="minorHAnsi"/>
                                  <w:sz w:val="18"/>
                                  <w:szCs w:val="18"/>
                                </w:rPr>
                                <w:t xml:space="preserve">Ved bivirkning med sværhedsgrad </w:t>
                              </w:r>
                              <w:r>
                                <w:rPr>
                                  <w:rFonts w:cstheme="minorHAnsi"/>
                                  <w:sz w:val="18"/>
                                  <w:szCs w:val="18"/>
                                  <w:u w:val="single"/>
                                </w:rPr>
                                <w:t>&gt;</w:t>
                              </w:r>
                              <w:r>
                                <w:rPr>
                                  <w:rFonts w:cstheme="minorHAnsi"/>
                                  <w:sz w:val="18"/>
                                  <w:szCs w:val="18"/>
                                </w:rPr>
                                <w:t xml:space="preserve"> 3: Indberet til STPS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kstfelt 12"/>
                        <wps:cNvSpPr txBox="1"/>
                        <wps:spPr>
                          <a:xfrm>
                            <a:off x="16411" y="6733896"/>
                            <a:ext cx="6589648" cy="1250563"/>
                          </a:xfrm>
                          <a:prstGeom prst="rect">
                            <a:avLst/>
                          </a:prstGeom>
                          <a:solidFill>
                            <a:sysClr val="window" lastClr="FFFFFF"/>
                          </a:solidFill>
                          <a:ln w="6350">
                            <a:solidFill>
                              <a:prstClr val="black"/>
                            </a:solidFill>
                          </a:ln>
                        </wps:spPr>
                        <wps:txbx>
                          <w:txbxContent>
                            <w:p w14:paraId="1DDB2277" w14:textId="77777777" w:rsidR="00046A73" w:rsidRPr="005E40DD" w:rsidRDefault="00046A73" w:rsidP="005E40DD">
                              <w:pPr>
                                <w:rPr>
                                  <w:rFonts w:cstheme="minorHAnsi"/>
                                  <w:b/>
                                  <w:sz w:val="18"/>
                                  <w:szCs w:val="18"/>
                                </w:rPr>
                              </w:pPr>
                              <w:r w:rsidRPr="005E40DD">
                                <w:rPr>
                                  <w:rFonts w:cstheme="minorHAnsi"/>
                                  <w:b/>
                                  <w:sz w:val="18"/>
                                  <w:szCs w:val="18"/>
                                </w:rPr>
                                <w:t>Personale der får besked fra donor ang. bivirkningen:</w:t>
                              </w:r>
                            </w:p>
                            <w:p w14:paraId="7AC5ED1E" w14:textId="77777777" w:rsidR="00046A73" w:rsidRPr="005E40DD" w:rsidRDefault="00046A73" w:rsidP="005E40DD">
                              <w:pPr>
                                <w:pStyle w:val="Listeafsnit"/>
                                <w:numPr>
                                  <w:ilvl w:val="0"/>
                                  <w:numId w:val="5"/>
                                </w:numPr>
                                <w:rPr>
                                  <w:rFonts w:cstheme="minorHAnsi"/>
                                  <w:sz w:val="18"/>
                                  <w:szCs w:val="18"/>
                                </w:rPr>
                              </w:pPr>
                              <w:r w:rsidRPr="005E40DD">
                                <w:rPr>
                                  <w:rFonts w:cstheme="minorHAnsi"/>
                                  <w:sz w:val="18"/>
                                  <w:szCs w:val="18"/>
                                </w:rPr>
                                <w:t>Kontakt læge i blodbanken (vagthavende læge).</w:t>
                              </w:r>
                            </w:p>
                            <w:p w14:paraId="16269974" w14:textId="77777777" w:rsidR="00046A73" w:rsidRPr="005E40DD" w:rsidRDefault="00046A73" w:rsidP="005E40DD">
                              <w:pPr>
                                <w:pStyle w:val="Listeafsnit"/>
                                <w:numPr>
                                  <w:ilvl w:val="0"/>
                                  <w:numId w:val="5"/>
                                </w:numPr>
                                <w:rPr>
                                  <w:rFonts w:cstheme="minorHAnsi"/>
                                  <w:b/>
                                  <w:sz w:val="18"/>
                                  <w:szCs w:val="18"/>
                                </w:rPr>
                              </w:pPr>
                              <w:r w:rsidRPr="005E40DD">
                                <w:rPr>
                                  <w:rFonts w:cstheme="minorHAnsi"/>
                                  <w:sz w:val="18"/>
                                  <w:szCs w:val="18"/>
                                </w:rPr>
                                <w:t>Kort beskrivelse af bivirkningen og ID på lægen i blodbankens it-system.</w:t>
                              </w:r>
                              <w:r w:rsidRPr="005E40DD">
                                <w:rPr>
                                  <w:rFonts w:cstheme="minorHAnsi"/>
                                  <w:sz w:val="18"/>
                                  <w:szCs w:val="18"/>
                                </w:rPr>
                                <w:br/>
                              </w:r>
                            </w:p>
                            <w:p w14:paraId="61D9ACDD" w14:textId="77777777" w:rsidR="00046A73" w:rsidRPr="005E40DD" w:rsidRDefault="00046A73" w:rsidP="005E40DD">
                              <w:pPr>
                                <w:rPr>
                                  <w:rFonts w:cstheme="minorHAnsi"/>
                                  <w:b/>
                                  <w:sz w:val="18"/>
                                  <w:szCs w:val="18"/>
                                </w:rPr>
                              </w:pPr>
                              <w:r w:rsidRPr="005E40DD">
                                <w:rPr>
                                  <w:rFonts w:cstheme="minorHAnsi"/>
                                  <w:b/>
                                  <w:sz w:val="18"/>
                                  <w:szCs w:val="18"/>
                                </w:rPr>
                                <w:t>Læge:</w:t>
                              </w:r>
                            </w:p>
                            <w:p w14:paraId="76C97D30" w14:textId="2A6C8C70" w:rsidR="00046A73" w:rsidRPr="005E40DD" w:rsidRDefault="00046A73" w:rsidP="005E40DD">
                              <w:pPr>
                                <w:pStyle w:val="Listeafsnit"/>
                                <w:numPr>
                                  <w:ilvl w:val="0"/>
                                  <w:numId w:val="6"/>
                                </w:numPr>
                                <w:rPr>
                                  <w:rFonts w:cstheme="minorHAnsi"/>
                                  <w:sz w:val="18"/>
                                  <w:szCs w:val="18"/>
                                </w:rPr>
                              </w:pPr>
                              <w:r w:rsidRPr="005E40DD">
                                <w:rPr>
                                  <w:rFonts w:cstheme="minorHAnsi"/>
                                  <w:sz w:val="18"/>
                                  <w:szCs w:val="18"/>
                                </w:rPr>
                                <w:t>Følg arbejdsgangen beskrevet i boksen ovenfor. Bemærk dog at hvis bivirkningen har ændret kategori, sværhedsgrad eller årsagssammenhæng skal dette opdateres i registreringen i blodbankens it-system</w:t>
                              </w:r>
                              <w:r w:rsidR="004D0F90">
                                <w:rPr>
                                  <w:rFonts w:cstheme="minorHAnsi"/>
                                  <w:sz w:val="18"/>
                                  <w:szCs w:val="18"/>
                                </w:rPr>
                                <w:t>, overvej om donor skal opfordres til at søge erstatning.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kstfelt 13"/>
                        <wps:cNvSpPr txBox="1"/>
                        <wps:spPr>
                          <a:xfrm>
                            <a:off x="16409" y="6218553"/>
                            <a:ext cx="6589648" cy="337575"/>
                          </a:xfrm>
                          <a:prstGeom prst="rect">
                            <a:avLst/>
                          </a:prstGeom>
                          <a:solidFill>
                            <a:sysClr val="window" lastClr="FFFFFF"/>
                          </a:solidFill>
                          <a:ln w="6350">
                            <a:solidFill>
                              <a:prstClr val="black"/>
                            </a:solidFill>
                          </a:ln>
                        </wps:spPr>
                        <wps:txbx>
                          <w:txbxContent>
                            <w:p w14:paraId="2AD491A6" w14:textId="02C2AA9A" w:rsidR="00046A73" w:rsidRPr="005E40DD" w:rsidRDefault="00046A73" w:rsidP="009637B0">
                              <w:pPr>
                                <w:pStyle w:val="Brdtekst3"/>
                                <w:rPr>
                                  <w:rFonts w:asciiTheme="minorHAnsi" w:hAnsiTheme="minorHAnsi" w:cstheme="minorHAnsi"/>
                                </w:rPr>
                              </w:pPr>
                              <w:r w:rsidRPr="005E40DD">
                                <w:rPr>
                                  <w:rFonts w:asciiTheme="minorHAnsi" w:hAnsiTheme="minorHAnsi" w:cstheme="minorHAnsi"/>
                                </w:rPr>
                                <w:t>Donor kontakter blodbanken igen pga. forværring</w:t>
                              </w:r>
                              <w:r>
                                <w:rPr>
                                  <w:rFonts w:asciiTheme="minorHAnsi" w:hAnsiTheme="minorHAnsi" w:cstheme="minorHAnsi"/>
                                </w:rPr>
                                <w:t xml:space="preserve">, </w:t>
                              </w:r>
                              <w:r w:rsidRPr="005E40DD">
                                <w:rPr>
                                  <w:rFonts w:asciiTheme="minorHAnsi" w:hAnsiTheme="minorHAnsi" w:cstheme="minorHAnsi"/>
                                </w:rPr>
                                <w:t>manglende bedring af gener</w:t>
                              </w:r>
                              <w:r>
                                <w:rPr>
                                  <w:rFonts w:asciiTheme="minorHAnsi" w:hAnsiTheme="minorHAnsi" w:cstheme="minorHAnsi"/>
                                </w:rPr>
                                <w:t xml:space="preserve"> eller tilbagemelding fra donor fx efter undersøgelse/behandling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Lige pilforbindelse 14"/>
                        <wps:cNvCnPr>
                          <a:stCxn id="10" idx="2"/>
                        </wps:cNvCnPr>
                        <wps:spPr>
                          <a:xfrm>
                            <a:off x="784356" y="5153616"/>
                            <a:ext cx="0" cy="1065771"/>
                          </a:xfrm>
                          <a:prstGeom prst="straightConnector1">
                            <a:avLst/>
                          </a:prstGeom>
                          <a:noFill/>
                          <a:ln w="6350" cap="flat" cmpd="sng" algn="ctr">
                            <a:solidFill>
                              <a:srgbClr val="4472C4"/>
                            </a:solidFill>
                            <a:prstDash val="solid"/>
                            <a:miter lim="800000"/>
                            <a:tailEnd type="triangle"/>
                          </a:ln>
                          <a:effectLst/>
                        </wps:spPr>
                        <wps:bodyPr/>
                      </wps:wsp>
                      <wps:wsp>
                        <wps:cNvPr id="15" name="Lige pilforbindelse 15"/>
                        <wps:cNvCnPr/>
                        <wps:spPr>
                          <a:xfrm>
                            <a:off x="5076837" y="6072384"/>
                            <a:ext cx="0" cy="153633"/>
                          </a:xfrm>
                          <a:prstGeom prst="straightConnector1">
                            <a:avLst/>
                          </a:prstGeom>
                          <a:noFill/>
                          <a:ln w="6350" cap="flat" cmpd="sng" algn="ctr">
                            <a:solidFill>
                              <a:srgbClr val="4472C4"/>
                            </a:solidFill>
                            <a:prstDash val="solid"/>
                            <a:miter lim="800000"/>
                            <a:tailEnd type="triangle"/>
                          </a:ln>
                          <a:effectLst/>
                        </wps:spPr>
                        <wps:bodyPr/>
                      </wps:wsp>
                      <wps:wsp>
                        <wps:cNvPr id="16" name="Lige pilforbindelse 16"/>
                        <wps:cNvCnPr/>
                        <wps:spPr>
                          <a:xfrm>
                            <a:off x="809587" y="1648903"/>
                            <a:ext cx="0" cy="200025"/>
                          </a:xfrm>
                          <a:prstGeom prst="straightConnector1">
                            <a:avLst/>
                          </a:prstGeom>
                          <a:noFill/>
                          <a:ln w="6350" cap="flat" cmpd="sng" algn="ctr">
                            <a:solidFill>
                              <a:srgbClr val="4472C4"/>
                            </a:solidFill>
                            <a:prstDash val="solid"/>
                            <a:miter lim="800000"/>
                            <a:tailEnd type="triangle"/>
                          </a:ln>
                          <a:effectLst/>
                        </wps:spPr>
                        <wps:bodyPr/>
                      </wps:wsp>
                      <wps:wsp>
                        <wps:cNvPr id="18" name="Lige pilforbindelse 18"/>
                        <wps:cNvCnPr>
                          <a:stCxn id="5" idx="2"/>
                        </wps:cNvCnPr>
                        <wps:spPr>
                          <a:xfrm>
                            <a:off x="5047949" y="1598885"/>
                            <a:ext cx="0" cy="250043"/>
                          </a:xfrm>
                          <a:prstGeom prst="straightConnector1">
                            <a:avLst/>
                          </a:prstGeom>
                          <a:noFill/>
                          <a:ln w="6350" cap="flat" cmpd="sng" algn="ctr">
                            <a:solidFill>
                              <a:srgbClr val="4472C4"/>
                            </a:solidFill>
                            <a:prstDash val="solid"/>
                            <a:miter lim="800000"/>
                            <a:tailEnd type="triangle"/>
                          </a:ln>
                          <a:effectLst/>
                        </wps:spPr>
                        <wps:bodyPr/>
                      </wps:wsp>
                      <wps:wsp>
                        <wps:cNvPr id="19" name="Lige pilforbindelse 19"/>
                        <wps:cNvCnPr/>
                        <wps:spPr>
                          <a:xfrm>
                            <a:off x="3326311" y="6556128"/>
                            <a:ext cx="0" cy="169974"/>
                          </a:xfrm>
                          <a:prstGeom prst="straightConnector1">
                            <a:avLst/>
                          </a:prstGeom>
                          <a:noFill/>
                          <a:ln w="6350" cap="flat" cmpd="sng" algn="ctr">
                            <a:solidFill>
                              <a:srgbClr val="4472C4"/>
                            </a:solidFill>
                            <a:prstDash val="solid"/>
                            <a:miter lim="800000"/>
                            <a:tailEnd type="triangle"/>
                          </a:ln>
                          <a:effectLst/>
                        </wps:spPr>
                        <wps:bodyPr/>
                      </wps:wsp>
                      <wps:wsp>
                        <wps:cNvPr id="21" name="Tekstfelt 21"/>
                        <wps:cNvSpPr txBox="1"/>
                        <wps:spPr>
                          <a:xfrm>
                            <a:off x="6350" y="8050786"/>
                            <a:ext cx="6609769" cy="692150"/>
                          </a:xfrm>
                          <a:prstGeom prst="rect">
                            <a:avLst/>
                          </a:prstGeom>
                          <a:solidFill>
                            <a:schemeClr val="bg2"/>
                          </a:solidFill>
                          <a:ln w="6350">
                            <a:solidFill>
                              <a:prstClr val="black"/>
                            </a:solidFill>
                          </a:ln>
                        </wps:spPr>
                        <wps:txbx>
                          <w:txbxContent>
                            <w:p w14:paraId="7BE9096D" w14:textId="21A89C49" w:rsidR="00046A73" w:rsidRPr="005E40DD" w:rsidRDefault="00046A73" w:rsidP="005E40DD">
                              <w:pPr>
                                <w:rPr>
                                  <w:rFonts w:cstheme="minorHAnsi"/>
                                  <w:sz w:val="18"/>
                                  <w:szCs w:val="18"/>
                                </w:rPr>
                              </w:pPr>
                              <w:r w:rsidRPr="005E40DD">
                                <w:rPr>
                                  <w:rFonts w:cstheme="minorHAnsi"/>
                                  <w:sz w:val="18"/>
                                  <w:szCs w:val="18"/>
                                </w:rPr>
                                <w:t>Hvis donor søger om erstatning opretter patienterstatningen en sag i</w:t>
                              </w:r>
                              <w:r w:rsidR="004072D9">
                                <w:rPr>
                                  <w:rFonts w:cstheme="minorHAnsi"/>
                                  <w:sz w:val="18"/>
                                  <w:szCs w:val="18"/>
                                </w:rPr>
                                <w:t xml:space="preserve"> deres digitale </w:t>
                              </w:r>
                              <w:proofErr w:type="gramStart"/>
                              <w:r w:rsidR="004072D9">
                                <w:rPr>
                                  <w:rFonts w:cstheme="minorHAnsi"/>
                                  <w:sz w:val="18"/>
                                  <w:szCs w:val="18"/>
                                </w:rPr>
                                <w:t xml:space="preserve">sagssystem </w:t>
                              </w:r>
                              <w:r w:rsidRPr="005E40DD">
                                <w:rPr>
                                  <w:rFonts w:cstheme="minorHAnsi"/>
                                  <w:sz w:val="18"/>
                                  <w:szCs w:val="18"/>
                                </w:rPr>
                                <w:t xml:space="preserve"> </w:t>
                              </w:r>
                              <w:proofErr w:type="spellStart"/>
                              <w:r w:rsidRPr="005E40DD">
                                <w:rPr>
                                  <w:rFonts w:cstheme="minorHAnsi"/>
                                  <w:sz w:val="18"/>
                                  <w:szCs w:val="18"/>
                                </w:rPr>
                                <w:t>Netservice</w:t>
                              </w:r>
                              <w:proofErr w:type="spellEnd"/>
                              <w:proofErr w:type="gramEnd"/>
                              <w:r w:rsidRPr="005E40DD">
                                <w:rPr>
                                  <w:rFonts w:cstheme="minorHAnsi"/>
                                  <w:sz w:val="18"/>
                                  <w:szCs w:val="18"/>
                                </w:rPr>
                                <w:t>. Her kan donor (og blodbanken) følge med i sagen og se erstatningsudbetalinger. Ved udbetaling af større erstatninger bør der laves opslag i Blodbankens it-system for at se om blodbanken er informeret om skaden og om der er lavet relevant registrering og evt. indberetning. Overvej om det er relevant at kontakte donor.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D52A64" id="Gruppe 1" o:spid="_x0000_s1026" style="position:absolute;margin-left:-.2pt;margin-top:15.95pt;width:492.75pt;height:654.5pt;z-index:-251657216;mso-position-horizontal-relative:margin;mso-width-relative:margin;mso-height-relative:margin" coordorigin="63,7251" coordsize="66097,8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">
                <v:shapetype id="_x0000_t202" coordsize="21600,21600" o:spt="202" path="m,l,21600r21600,l21600,xe">
                  <v:stroke joinstyle="miter"/>
                  <v:path gradientshapeok="t" o:connecttype="rect"/>
                </v:shapetype>
                <v:shape id="Tekstfelt 2" o:spid="_x0000_s1027" type="#_x0000_t202" style="position:absolute;left:9945;top:7251;width:41814;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368C2192" w14:textId="6DCAE378" w:rsidR="00046A73" w:rsidRPr="005E40DD" w:rsidRDefault="00046A73" w:rsidP="005E40DD">
                        <w:pPr>
                          <w:pStyle w:val="Brdtekst3"/>
                          <w:rPr>
                            <w:rFonts w:asciiTheme="minorHAnsi" w:hAnsiTheme="minorHAnsi" w:cstheme="minorHAnsi"/>
                          </w:rPr>
                        </w:pPr>
                        <w:r w:rsidRPr="005E40DD">
                          <w:rPr>
                            <w:rFonts w:asciiTheme="minorHAnsi" w:hAnsiTheme="minorHAnsi" w:cstheme="minorHAnsi"/>
                          </w:rPr>
                          <w:t>Er der tale om en donorbivirkning?</w:t>
                        </w:r>
                        <w:r w:rsidRPr="005E40DD">
                          <w:rPr>
                            <w:rFonts w:asciiTheme="minorHAnsi" w:hAnsiTheme="minorHAnsi" w:cstheme="minorHAnsi"/>
                          </w:rPr>
                          <w:br/>
                          <w:t xml:space="preserve"> (se</w:t>
                        </w:r>
                        <w:r>
                          <w:rPr>
                            <w:rFonts w:asciiTheme="minorHAnsi" w:hAnsiTheme="minorHAnsi" w:cstheme="minorHAnsi"/>
                          </w:rPr>
                          <w:t xml:space="preserve"> evt. bivirkningskategorier og definitioner tabel 1 i bilag 1</w:t>
                        </w:r>
                        <w:r w:rsidRPr="005E40DD">
                          <w:rPr>
                            <w:rFonts w:asciiTheme="minorHAnsi" w:hAnsiTheme="minorHAnsi" w:cstheme="minorHAnsi"/>
                          </w:rPr>
                          <w:t xml:space="preserve">)  </w:t>
                        </w:r>
                      </w:p>
                    </w:txbxContent>
                  </v:textbox>
                </v:shape>
                <v:shape id="Tekstfelt 4" o:spid="_x0000_s1028" type="#_x0000_t202" style="position:absolute;left:1724;top:13541;width:1220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38F0B4E2" w14:textId="77777777" w:rsidR="00046A73" w:rsidRPr="005E40DD" w:rsidRDefault="00046A73" w:rsidP="005E40DD">
                        <w:pPr>
                          <w:jc w:val="center"/>
                          <w:rPr>
                            <w:rFonts w:cstheme="minorHAnsi"/>
                            <w:sz w:val="18"/>
                            <w:szCs w:val="18"/>
                          </w:rPr>
                        </w:pPr>
                        <w:r w:rsidRPr="005E40DD">
                          <w:rPr>
                            <w:rFonts w:cstheme="minorHAnsi"/>
                            <w:sz w:val="18"/>
                            <w:szCs w:val="18"/>
                          </w:rPr>
                          <w:t>Nej</w:t>
                        </w:r>
                      </w:p>
                    </w:txbxContent>
                  </v:textbox>
                </v:shape>
                <v:shape id="Tekstfelt 5" o:spid="_x0000_s1029" type="#_x0000_t202" style="position:absolute;left:41965;top:13324;width:17028;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05580996" w14:textId="77777777" w:rsidR="00046A73" w:rsidRPr="005E40DD" w:rsidRDefault="00046A73" w:rsidP="005E40DD">
                        <w:pPr>
                          <w:jc w:val="center"/>
                          <w:rPr>
                            <w:rFonts w:cstheme="minorHAnsi"/>
                            <w:sz w:val="18"/>
                            <w:szCs w:val="18"/>
                          </w:rPr>
                        </w:pPr>
                        <w:r w:rsidRPr="005E40DD">
                          <w:rPr>
                            <w:rFonts w:cstheme="minorHAnsi"/>
                            <w:sz w:val="18"/>
                            <w:szCs w:val="18"/>
                          </w:rPr>
                          <w:t xml:space="preserve">Ja, sværhedsgrad </w:t>
                        </w:r>
                        <w:r w:rsidRPr="005E40DD">
                          <w:rPr>
                            <w:rFonts w:cstheme="minorHAnsi"/>
                            <w:sz w:val="18"/>
                            <w:szCs w:val="18"/>
                            <w:u w:val="single"/>
                          </w:rPr>
                          <w:t>&gt;</w:t>
                        </w:r>
                        <w:r w:rsidRPr="005E40DD">
                          <w:rPr>
                            <w:rFonts w:cstheme="minorHAnsi"/>
                            <w:sz w:val="18"/>
                            <w:szCs w:val="18"/>
                          </w:rPr>
                          <w:t xml:space="preserve"> 2</w:t>
                        </w:r>
                      </w:p>
                    </w:txbxContent>
                  </v:textbox>
                </v:shape>
                <v:shape id="Tekstfelt 6" o:spid="_x0000_s1030" type="#_x0000_t202" style="position:absolute;left:1162;top:13581;width:13576;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1D747DE9" w14:textId="77777777" w:rsidR="00046A73" w:rsidRPr="005E40DD" w:rsidRDefault="00046A73" w:rsidP="005E40DD">
                        <w:pPr>
                          <w:jc w:val="center"/>
                          <w:rPr>
                            <w:rFonts w:cstheme="minorHAnsi"/>
                            <w:sz w:val="18"/>
                            <w:szCs w:val="18"/>
                          </w:rPr>
                        </w:pPr>
                        <w:r w:rsidRPr="005E40DD">
                          <w:rPr>
                            <w:rFonts w:cstheme="minorHAnsi"/>
                            <w:sz w:val="18"/>
                            <w:szCs w:val="18"/>
                          </w:rPr>
                          <w:t>Ja, sværhedsgrad 1</w:t>
                        </w:r>
                      </w:p>
                    </w:txbxContent>
                  </v:textbox>
                </v:shape>
                <v:shapetype id="_x0000_t32" coordsize="21600,21600" o:spt="32" o:oned="t" path="m,l21600,21600e" filled="f">
                  <v:path arrowok="t" fillok="f" o:connecttype="none"/>
                  <o:lock v:ext="edit" shapetype="t"/>
                </v:shapetype>
                <v:shape id="Lige pilforbindelse 7" o:spid="_x0000_s1031" type="#_x0000_t32" style="position:absolute;left:8095;top:11973;width:2230;height:1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" strokecolor="#4472c4" strokeweight=".5pt">
                  <v:stroke endarrow="block" joinstyle="miter"/>
                </v:shape>
                <v:shape id="Lige pilforbindelse 8" o:spid="_x0000_s1032" type="#_x0000_t32" style="position:absolute;left:47619;top:11501;width:1841;height:1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" strokecolor="#4472c4" strokeweight=".5pt">
                  <v:stroke endarrow="block" joinstyle="miter"/>
                </v:shape>
                <v:shape id="Tekstfelt 10" o:spid="_x0000_s1033" type="#_x0000_t202" style="position:absolute;left:600;top:18673;width:14487;height:3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190F12E3" w14:textId="77777777" w:rsidR="00046A73" w:rsidRPr="005E40DD" w:rsidRDefault="00046A73" w:rsidP="005E40DD">
                        <w:pPr>
                          <w:pStyle w:val="Listeafsnit"/>
                          <w:ind w:left="426"/>
                          <w:rPr>
                            <w:rFonts w:cstheme="minorHAnsi"/>
                            <w:sz w:val="18"/>
                            <w:szCs w:val="18"/>
                          </w:rPr>
                        </w:pPr>
                      </w:p>
                      <w:p w14:paraId="68D09B90" w14:textId="77777777" w:rsidR="00046A73" w:rsidRDefault="00046A73" w:rsidP="0019762E">
                        <w:pPr>
                          <w:pStyle w:val="Listeafsnit"/>
                          <w:numPr>
                            <w:ilvl w:val="0"/>
                            <w:numId w:val="4"/>
                          </w:numPr>
                          <w:ind w:left="426" w:hanging="284"/>
                          <w:rPr>
                            <w:rFonts w:cstheme="minorHAnsi"/>
                            <w:sz w:val="18"/>
                            <w:szCs w:val="18"/>
                          </w:rPr>
                        </w:pPr>
                        <w:r w:rsidRPr="005E40DD">
                          <w:rPr>
                            <w:rFonts w:cstheme="minorHAnsi"/>
                            <w:sz w:val="18"/>
                            <w:szCs w:val="18"/>
                          </w:rPr>
                          <w:t>Anmod donor om at kontakte blodbanken, hvis gener forværres, kræver behandling, påvirker dagligdagen eller varer ud</w:t>
                        </w:r>
                        <w:r w:rsidRPr="0019762E">
                          <w:rPr>
                            <w:rFonts w:cstheme="minorHAnsi"/>
                            <w:sz w:val="18"/>
                            <w:szCs w:val="18"/>
                          </w:rPr>
                          <w:t>over 2 uger.</w:t>
                        </w:r>
                      </w:p>
                      <w:p w14:paraId="2732F80D" w14:textId="77777777" w:rsidR="00046A73" w:rsidRPr="005E40DD" w:rsidRDefault="00046A73" w:rsidP="005E40DD">
                        <w:pPr>
                          <w:pStyle w:val="Listeafsnit"/>
                          <w:numPr>
                            <w:ilvl w:val="0"/>
                            <w:numId w:val="4"/>
                          </w:numPr>
                          <w:ind w:left="426" w:hanging="284"/>
                          <w:rPr>
                            <w:rFonts w:cstheme="minorHAnsi"/>
                            <w:sz w:val="18"/>
                            <w:szCs w:val="18"/>
                          </w:rPr>
                        </w:pPr>
                        <w:r w:rsidRPr="005E40DD">
                          <w:rPr>
                            <w:rFonts w:cstheme="minorHAnsi"/>
                            <w:sz w:val="18"/>
                            <w:szCs w:val="18"/>
                          </w:rPr>
                          <w:t>Registrér bivirkningskoden i blodbankens it-system.</w:t>
                        </w:r>
                      </w:p>
                    </w:txbxContent>
                  </v:textbox>
                </v:shape>
                <v:shape id="Tekstfelt 11" o:spid="_x0000_s1034" type="#_x0000_t202" style="position:absolute;left:22867;top:18489;width:43294;height:4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730D2D09" w14:textId="77777777" w:rsidR="009B39FE" w:rsidRDefault="009B39FE" w:rsidP="009B39FE">
                        <w:pPr>
                          <w:rPr>
                            <w:rFonts w:cstheme="minorHAnsi"/>
                            <w:b/>
                            <w:sz w:val="18"/>
                            <w:szCs w:val="18"/>
                          </w:rPr>
                        </w:pPr>
                        <w:r>
                          <w:rPr>
                            <w:rFonts w:cstheme="minorHAnsi"/>
                            <w:b/>
                            <w:sz w:val="18"/>
                            <w:szCs w:val="18"/>
                          </w:rPr>
                          <w:t>Personale der får besked fra donor ang. bivirkningen:</w:t>
                        </w:r>
                      </w:p>
                      <w:p w14:paraId="5B85AA87" w14:textId="77777777" w:rsidR="009B39FE" w:rsidRDefault="009B39FE" w:rsidP="009B39FE">
                        <w:pPr>
                          <w:pStyle w:val="Listeafsnit"/>
                          <w:numPr>
                            <w:ilvl w:val="0"/>
                            <w:numId w:val="7"/>
                          </w:numPr>
                          <w:rPr>
                            <w:rFonts w:cstheme="minorHAnsi"/>
                            <w:sz w:val="18"/>
                            <w:szCs w:val="18"/>
                          </w:rPr>
                        </w:pPr>
                        <w:r>
                          <w:rPr>
                            <w:rFonts w:cstheme="minorHAnsi"/>
                            <w:sz w:val="18"/>
                            <w:szCs w:val="18"/>
                          </w:rPr>
                          <w:t>Kontakt læge i blodbanken (vagthavende læge).</w:t>
                        </w:r>
                      </w:p>
                      <w:p w14:paraId="31EBEB6A" w14:textId="77777777" w:rsidR="009B39FE" w:rsidRDefault="009B39FE" w:rsidP="009B39FE">
                        <w:pPr>
                          <w:pStyle w:val="Listeafsnit"/>
                          <w:numPr>
                            <w:ilvl w:val="0"/>
                            <w:numId w:val="7"/>
                          </w:numPr>
                          <w:rPr>
                            <w:rFonts w:cstheme="minorHAnsi"/>
                            <w:sz w:val="18"/>
                            <w:szCs w:val="18"/>
                          </w:rPr>
                        </w:pPr>
                        <w:r>
                          <w:rPr>
                            <w:rFonts w:cstheme="minorHAnsi"/>
                            <w:sz w:val="18"/>
                            <w:szCs w:val="18"/>
                          </w:rPr>
                          <w:t>Kort beskrivelse af bivirkningen og ID på lægen i blodbankens it-system.</w:t>
                        </w:r>
                      </w:p>
                      <w:p w14:paraId="42B30A57" w14:textId="77777777" w:rsidR="009B39FE" w:rsidRDefault="009B39FE" w:rsidP="009B39FE">
                        <w:pPr>
                          <w:pStyle w:val="Listeafsnit"/>
                          <w:numPr>
                            <w:ilvl w:val="0"/>
                            <w:numId w:val="7"/>
                          </w:numPr>
                          <w:rPr>
                            <w:rFonts w:cstheme="minorHAnsi"/>
                            <w:sz w:val="18"/>
                            <w:szCs w:val="18"/>
                          </w:rPr>
                        </w:pPr>
                        <w:r>
                          <w:rPr>
                            <w:rFonts w:cstheme="minorHAnsi"/>
                            <w:sz w:val="18"/>
                            <w:szCs w:val="18"/>
                          </w:rPr>
                          <w:t xml:space="preserve">Registrér bivirkningskoden i </w:t>
                        </w:r>
                        <w:proofErr w:type="spellStart"/>
                        <w:r>
                          <w:rPr>
                            <w:rFonts w:cstheme="minorHAnsi"/>
                            <w:sz w:val="18"/>
                            <w:szCs w:val="18"/>
                          </w:rPr>
                          <w:t>ProSang</w:t>
                        </w:r>
                        <w:proofErr w:type="spellEnd"/>
                        <w:r>
                          <w:rPr>
                            <w:rFonts w:cstheme="minorHAnsi"/>
                            <w:sz w:val="18"/>
                            <w:szCs w:val="18"/>
                          </w:rPr>
                          <w:t>.</w:t>
                        </w:r>
                      </w:p>
                      <w:p w14:paraId="69A0745C" w14:textId="77777777" w:rsidR="009B39FE" w:rsidRDefault="009B39FE" w:rsidP="009B39FE">
                        <w:pPr>
                          <w:pStyle w:val="Listeafsnit"/>
                          <w:numPr>
                            <w:ilvl w:val="0"/>
                            <w:numId w:val="7"/>
                          </w:numPr>
                          <w:rPr>
                            <w:rFonts w:cstheme="minorHAnsi"/>
                            <w:sz w:val="18"/>
                            <w:szCs w:val="18"/>
                          </w:rPr>
                        </w:pPr>
                        <w:r>
                          <w:rPr>
                            <w:rFonts w:cstheme="minorHAnsi"/>
                            <w:sz w:val="18"/>
                            <w:szCs w:val="18"/>
                          </w:rPr>
                          <w:t xml:space="preserve">Bloker donor for indkald i en periode på 3-6 mdr. Informer evt. donor om at denne kan ophæves før hvis generne ophører. </w:t>
                        </w:r>
                      </w:p>
                      <w:p w14:paraId="4B9CD592" w14:textId="77777777" w:rsidR="009B39FE" w:rsidRDefault="009B39FE" w:rsidP="009B39FE">
                        <w:pPr>
                          <w:rPr>
                            <w:rFonts w:cstheme="minorHAnsi"/>
                            <w:b/>
                            <w:sz w:val="18"/>
                            <w:szCs w:val="18"/>
                          </w:rPr>
                        </w:pPr>
                        <w:r>
                          <w:rPr>
                            <w:rFonts w:cstheme="minorHAnsi"/>
                            <w:b/>
                            <w:sz w:val="18"/>
                            <w:szCs w:val="18"/>
                          </w:rPr>
                          <w:t>Læge:</w:t>
                        </w:r>
                      </w:p>
                      <w:p w14:paraId="5ABA2E4F" w14:textId="77777777" w:rsidR="009B39FE" w:rsidRDefault="009B39FE" w:rsidP="009B39FE">
                        <w:pPr>
                          <w:pStyle w:val="Listeafsnit"/>
                          <w:numPr>
                            <w:ilvl w:val="0"/>
                            <w:numId w:val="8"/>
                          </w:numPr>
                          <w:rPr>
                            <w:rFonts w:cstheme="minorHAnsi"/>
                            <w:sz w:val="18"/>
                            <w:szCs w:val="18"/>
                          </w:rPr>
                        </w:pPr>
                        <w:r>
                          <w:rPr>
                            <w:rFonts w:cstheme="minorHAnsi"/>
                            <w:sz w:val="18"/>
                            <w:szCs w:val="18"/>
                          </w:rPr>
                          <w:t>Vurdér bivirkningen og evt. behov for yderligere behandling/udredning. Informer donor om forventet forløb.</w:t>
                        </w:r>
                      </w:p>
                      <w:p w14:paraId="338F7899" w14:textId="77777777" w:rsidR="009B39FE" w:rsidRDefault="009B39FE" w:rsidP="009B39FE">
                        <w:pPr>
                          <w:pStyle w:val="Listeafsnit"/>
                          <w:numPr>
                            <w:ilvl w:val="1"/>
                            <w:numId w:val="8"/>
                          </w:numPr>
                          <w:rPr>
                            <w:rFonts w:cstheme="minorHAnsi"/>
                            <w:sz w:val="18"/>
                            <w:szCs w:val="18"/>
                          </w:rPr>
                        </w:pPr>
                        <w:r>
                          <w:rPr>
                            <w:rFonts w:cstheme="minorHAnsi"/>
                            <w:sz w:val="18"/>
                            <w:szCs w:val="18"/>
                          </w:rPr>
                          <w:t>Ved iværksat udredning/behandling: aftal med donor at denne henvender sig når resultat foreligger/ ved manglende effekt af behandling. Der er ingen rutineopfølgning på donorskader, forløbet aftales individuelt.</w:t>
                        </w:r>
                      </w:p>
                      <w:p w14:paraId="22124EA4" w14:textId="77777777" w:rsidR="009B39FE" w:rsidRDefault="009B39FE" w:rsidP="009B39FE">
                        <w:pPr>
                          <w:pStyle w:val="Listeafsnit"/>
                          <w:numPr>
                            <w:ilvl w:val="0"/>
                            <w:numId w:val="8"/>
                          </w:numPr>
                          <w:rPr>
                            <w:rFonts w:cstheme="minorHAnsi"/>
                            <w:sz w:val="18"/>
                            <w:szCs w:val="18"/>
                          </w:rPr>
                        </w:pPr>
                        <w:r>
                          <w:rPr>
                            <w:rFonts w:cstheme="minorHAnsi"/>
                            <w:sz w:val="18"/>
                            <w:szCs w:val="18"/>
                          </w:rPr>
                          <w:t>Journalfør beskrivelse af bivirkningen i blodbankens it-system.</w:t>
                        </w:r>
                      </w:p>
                      <w:p w14:paraId="335FA0E0" w14:textId="77777777" w:rsidR="009B39FE" w:rsidRDefault="009B39FE" w:rsidP="009B39FE">
                        <w:pPr>
                          <w:pStyle w:val="Listeafsnit"/>
                          <w:numPr>
                            <w:ilvl w:val="0"/>
                            <w:numId w:val="8"/>
                          </w:numPr>
                          <w:rPr>
                            <w:rFonts w:cstheme="minorHAnsi"/>
                            <w:sz w:val="18"/>
                            <w:szCs w:val="18"/>
                          </w:rPr>
                        </w:pPr>
                        <w:r>
                          <w:rPr>
                            <w:rFonts w:cstheme="minorHAnsi"/>
                            <w:sz w:val="18"/>
                            <w:szCs w:val="18"/>
                          </w:rPr>
                          <w:t>Anmod donor om at kontakte blodbanken igen ved forværring eller manglende bedring.</w:t>
                        </w:r>
                      </w:p>
                      <w:p w14:paraId="76AB8D29" w14:textId="77777777" w:rsidR="009B39FE" w:rsidRDefault="009B39FE" w:rsidP="009B39FE">
                        <w:pPr>
                          <w:pStyle w:val="Listeafsnit"/>
                          <w:numPr>
                            <w:ilvl w:val="0"/>
                            <w:numId w:val="8"/>
                          </w:numPr>
                          <w:rPr>
                            <w:rFonts w:cstheme="minorHAnsi"/>
                            <w:sz w:val="18"/>
                            <w:szCs w:val="18"/>
                          </w:rPr>
                        </w:pPr>
                        <w:r>
                          <w:rPr>
                            <w:rFonts w:cstheme="minorHAnsi"/>
                            <w:sz w:val="18"/>
                            <w:szCs w:val="18"/>
                          </w:rPr>
                          <w:t xml:space="preserve">Vurder om det er relevant at informere donor om muligheden for at søge erstatning. I </w:t>
                        </w:r>
                        <w:proofErr w:type="spellStart"/>
                        <w:r>
                          <w:rPr>
                            <w:rFonts w:cstheme="minorHAnsi"/>
                            <w:sz w:val="18"/>
                            <w:szCs w:val="18"/>
                          </w:rPr>
                          <w:t>såfald</w:t>
                        </w:r>
                        <w:proofErr w:type="spellEnd"/>
                        <w:r>
                          <w:rPr>
                            <w:rFonts w:cstheme="minorHAnsi"/>
                            <w:sz w:val="18"/>
                            <w:szCs w:val="18"/>
                          </w:rPr>
                          <w:t xml:space="preserve"> udlevér eller henvis til pjecen fra Patienterstatningen "Skade ved bloddonation" Den er tilgængelig på bloddonor.dk </w:t>
                        </w:r>
                      </w:p>
                      <w:p w14:paraId="2E534B4B" w14:textId="77777777" w:rsidR="009B39FE" w:rsidRDefault="009B39FE" w:rsidP="009B39FE">
                        <w:pPr>
                          <w:pStyle w:val="Listeafsnit"/>
                          <w:numPr>
                            <w:ilvl w:val="0"/>
                            <w:numId w:val="8"/>
                          </w:numPr>
                          <w:rPr>
                            <w:rFonts w:cstheme="minorHAnsi"/>
                            <w:sz w:val="18"/>
                            <w:szCs w:val="18"/>
                          </w:rPr>
                        </w:pPr>
                        <w:r>
                          <w:rPr>
                            <w:rFonts w:cstheme="minorHAnsi"/>
                            <w:sz w:val="18"/>
                            <w:szCs w:val="18"/>
                          </w:rPr>
                          <w:t xml:space="preserve">Ved behov, rediger bivirkningskoden i </w:t>
                        </w:r>
                        <w:proofErr w:type="spellStart"/>
                        <w:r>
                          <w:rPr>
                            <w:rFonts w:cstheme="minorHAnsi"/>
                            <w:sz w:val="18"/>
                            <w:szCs w:val="18"/>
                          </w:rPr>
                          <w:t>ProSang</w:t>
                        </w:r>
                        <w:proofErr w:type="spellEnd"/>
                        <w:r>
                          <w:rPr>
                            <w:rFonts w:cstheme="minorHAnsi"/>
                            <w:sz w:val="18"/>
                            <w:szCs w:val="18"/>
                          </w:rPr>
                          <w:t>.</w:t>
                        </w:r>
                      </w:p>
                      <w:p w14:paraId="4C7C3737" w14:textId="77777777" w:rsidR="009B39FE" w:rsidRDefault="009B39FE" w:rsidP="009B39FE">
                        <w:pPr>
                          <w:pStyle w:val="Listeafsnit"/>
                          <w:numPr>
                            <w:ilvl w:val="0"/>
                            <w:numId w:val="8"/>
                          </w:numPr>
                          <w:rPr>
                            <w:rFonts w:cstheme="minorHAnsi"/>
                            <w:sz w:val="18"/>
                            <w:szCs w:val="18"/>
                          </w:rPr>
                        </w:pPr>
                        <w:r>
                          <w:rPr>
                            <w:rFonts w:cstheme="minorHAnsi"/>
                            <w:sz w:val="18"/>
                            <w:szCs w:val="18"/>
                          </w:rPr>
                          <w:t xml:space="preserve">Ved bivirkning med sværhedsgrad </w:t>
                        </w:r>
                        <w:r>
                          <w:rPr>
                            <w:rFonts w:cstheme="minorHAnsi"/>
                            <w:sz w:val="18"/>
                            <w:szCs w:val="18"/>
                            <w:u w:val="single"/>
                          </w:rPr>
                          <w:t>&gt;</w:t>
                        </w:r>
                        <w:r>
                          <w:rPr>
                            <w:rFonts w:cstheme="minorHAnsi"/>
                            <w:sz w:val="18"/>
                            <w:szCs w:val="18"/>
                          </w:rPr>
                          <w:t xml:space="preserve"> 3: Indberet til STPS</w:t>
                        </w:r>
                      </w:p>
                    </w:txbxContent>
                  </v:textbox>
                </v:shape>
                <v:shape id="Tekstfelt 12" o:spid="_x0000_s1035" type="#_x0000_t202" style="position:absolute;left:164;top:67338;width:65896;height:1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1DDB2277" w14:textId="77777777" w:rsidR="00046A73" w:rsidRPr="005E40DD" w:rsidRDefault="00046A73" w:rsidP="005E40DD">
                        <w:pPr>
                          <w:rPr>
                            <w:rFonts w:cstheme="minorHAnsi"/>
                            <w:b/>
                            <w:sz w:val="18"/>
                            <w:szCs w:val="18"/>
                          </w:rPr>
                        </w:pPr>
                        <w:r w:rsidRPr="005E40DD">
                          <w:rPr>
                            <w:rFonts w:cstheme="minorHAnsi"/>
                            <w:b/>
                            <w:sz w:val="18"/>
                            <w:szCs w:val="18"/>
                          </w:rPr>
                          <w:t>Personale der får besked fra donor ang. bivirkningen:</w:t>
                        </w:r>
                      </w:p>
                      <w:p w14:paraId="7AC5ED1E" w14:textId="77777777" w:rsidR="00046A73" w:rsidRPr="005E40DD" w:rsidRDefault="00046A73" w:rsidP="005E40DD">
                        <w:pPr>
                          <w:pStyle w:val="Listeafsnit"/>
                          <w:numPr>
                            <w:ilvl w:val="0"/>
                            <w:numId w:val="5"/>
                          </w:numPr>
                          <w:rPr>
                            <w:rFonts w:cstheme="minorHAnsi"/>
                            <w:sz w:val="18"/>
                            <w:szCs w:val="18"/>
                          </w:rPr>
                        </w:pPr>
                        <w:r w:rsidRPr="005E40DD">
                          <w:rPr>
                            <w:rFonts w:cstheme="minorHAnsi"/>
                            <w:sz w:val="18"/>
                            <w:szCs w:val="18"/>
                          </w:rPr>
                          <w:t>Kontakt læge i blodbanken (vagthavende læge).</w:t>
                        </w:r>
                      </w:p>
                      <w:p w14:paraId="16269974" w14:textId="77777777" w:rsidR="00046A73" w:rsidRPr="005E40DD" w:rsidRDefault="00046A73" w:rsidP="005E40DD">
                        <w:pPr>
                          <w:pStyle w:val="Listeafsnit"/>
                          <w:numPr>
                            <w:ilvl w:val="0"/>
                            <w:numId w:val="5"/>
                          </w:numPr>
                          <w:rPr>
                            <w:rFonts w:cstheme="minorHAnsi"/>
                            <w:b/>
                            <w:sz w:val="18"/>
                            <w:szCs w:val="18"/>
                          </w:rPr>
                        </w:pPr>
                        <w:r w:rsidRPr="005E40DD">
                          <w:rPr>
                            <w:rFonts w:cstheme="minorHAnsi"/>
                            <w:sz w:val="18"/>
                            <w:szCs w:val="18"/>
                          </w:rPr>
                          <w:t>Kort beskrivelse af bivirkningen og ID på lægen i blodbankens it-system.</w:t>
                        </w:r>
                        <w:r w:rsidRPr="005E40DD">
                          <w:rPr>
                            <w:rFonts w:cstheme="minorHAnsi"/>
                            <w:sz w:val="18"/>
                            <w:szCs w:val="18"/>
                          </w:rPr>
                          <w:br/>
                        </w:r>
                      </w:p>
                      <w:p w14:paraId="61D9ACDD" w14:textId="77777777" w:rsidR="00046A73" w:rsidRPr="005E40DD" w:rsidRDefault="00046A73" w:rsidP="005E40DD">
                        <w:pPr>
                          <w:rPr>
                            <w:rFonts w:cstheme="minorHAnsi"/>
                            <w:b/>
                            <w:sz w:val="18"/>
                            <w:szCs w:val="18"/>
                          </w:rPr>
                        </w:pPr>
                        <w:r w:rsidRPr="005E40DD">
                          <w:rPr>
                            <w:rFonts w:cstheme="minorHAnsi"/>
                            <w:b/>
                            <w:sz w:val="18"/>
                            <w:szCs w:val="18"/>
                          </w:rPr>
                          <w:t>Læge:</w:t>
                        </w:r>
                      </w:p>
                      <w:p w14:paraId="76C97D30" w14:textId="2A6C8C70" w:rsidR="00046A73" w:rsidRPr="005E40DD" w:rsidRDefault="00046A73" w:rsidP="005E40DD">
                        <w:pPr>
                          <w:pStyle w:val="Listeafsnit"/>
                          <w:numPr>
                            <w:ilvl w:val="0"/>
                            <w:numId w:val="6"/>
                          </w:numPr>
                          <w:rPr>
                            <w:rFonts w:cstheme="minorHAnsi"/>
                            <w:sz w:val="18"/>
                            <w:szCs w:val="18"/>
                          </w:rPr>
                        </w:pPr>
                        <w:r w:rsidRPr="005E40DD">
                          <w:rPr>
                            <w:rFonts w:cstheme="minorHAnsi"/>
                            <w:sz w:val="18"/>
                            <w:szCs w:val="18"/>
                          </w:rPr>
                          <w:t>Følg arbejdsgangen beskrevet i boksen ovenfor. Bemærk dog at hvis bivirkningen har ændret kategori, sværhedsgrad eller årsagssammenhæng skal dette opdateres i registreringen i blodbankens it-system</w:t>
                        </w:r>
                        <w:r w:rsidR="004D0F90">
                          <w:rPr>
                            <w:rFonts w:cstheme="minorHAnsi"/>
                            <w:sz w:val="18"/>
                            <w:szCs w:val="18"/>
                          </w:rPr>
                          <w:t>, overvej om donor skal opfordres til at søge erstatning.</w:t>
                        </w:r>
                      </w:p>
                    </w:txbxContent>
                  </v:textbox>
                </v:shape>
                <v:shape id="Tekstfelt 13" o:spid="_x0000_s1036" type="#_x0000_t202" style="position:absolute;left:164;top:62185;width:65896;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2AD491A6" w14:textId="02C2AA9A" w:rsidR="00046A73" w:rsidRPr="005E40DD" w:rsidRDefault="00046A73" w:rsidP="009637B0">
                        <w:pPr>
                          <w:pStyle w:val="Brdtekst3"/>
                          <w:rPr>
                            <w:rFonts w:asciiTheme="minorHAnsi" w:hAnsiTheme="minorHAnsi" w:cstheme="minorHAnsi"/>
                          </w:rPr>
                        </w:pPr>
                        <w:r w:rsidRPr="005E40DD">
                          <w:rPr>
                            <w:rFonts w:asciiTheme="minorHAnsi" w:hAnsiTheme="minorHAnsi" w:cstheme="minorHAnsi"/>
                          </w:rPr>
                          <w:t>Donor kontakter blodbanken igen pga. forværring</w:t>
                        </w:r>
                        <w:r>
                          <w:rPr>
                            <w:rFonts w:asciiTheme="minorHAnsi" w:hAnsiTheme="minorHAnsi" w:cstheme="minorHAnsi"/>
                          </w:rPr>
                          <w:t xml:space="preserve">, </w:t>
                        </w:r>
                        <w:r w:rsidRPr="005E40DD">
                          <w:rPr>
                            <w:rFonts w:asciiTheme="minorHAnsi" w:hAnsiTheme="minorHAnsi" w:cstheme="minorHAnsi"/>
                          </w:rPr>
                          <w:t>manglende bedring af gener</w:t>
                        </w:r>
                        <w:r>
                          <w:rPr>
                            <w:rFonts w:asciiTheme="minorHAnsi" w:hAnsiTheme="minorHAnsi" w:cstheme="minorHAnsi"/>
                          </w:rPr>
                          <w:t xml:space="preserve"> eller tilbagemelding fra donor fx efter undersøgelse/behandling</w:t>
                        </w:r>
                      </w:p>
                    </w:txbxContent>
                  </v:textbox>
                </v:shape>
                <v:shape id="Lige pilforbindelse 14" o:spid="_x0000_s1037" type="#_x0000_t32" style="position:absolute;left:7843;top:51536;width:0;height:10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" strokecolor="#4472c4" strokeweight=".5pt">
                  <v:stroke endarrow="block" joinstyle="miter"/>
                </v:shape>
                <v:shape id="Lige pilforbindelse 15" o:spid="_x0000_s1038" type="#_x0000_t32" style="position:absolute;left:50768;top:60723;width:0;height:1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" strokecolor="#4472c4" strokeweight=".5pt">
                  <v:stroke endarrow="block" joinstyle="miter"/>
                </v:shape>
                <v:shape id="Lige pilforbindelse 16" o:spid="_x0000_s1039" type="#_x0000_t32" style="position:absolute;left:8095;top:16489;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" strokecolor="#4472c4" strokeweight=".5pt">
                  <v:stroke endarrow="block" joinstyle="miter"/>
                </v:shape>
                <v:shape id="Lige pilforbindelse 18" o:spid="_x0000_s1040" type="#_x0000_t32" style="position:absolute;left:50479;top:15988;width:0;height:2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" strokecolor="#4472c4" strokeweight=".5pt">
                  <v:stroke endarrow="block" joinstyle="miter"/>
                </v:shape>
                <v:shape id="Lige pilforbindelse 19" o:spid="_x0000_s1041" type="#_x0000_t32" style="position:absolute;left:33263;top:65561;width:0;height:1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" strokecolor="#4472c4" strokeweight=".5pt">
                  <v:stroke endarrow="block" joinstyle="miter"/>
                </v:shape>
                <v:shape id="Tekstfelt 21" o:spid="_x0000_s1042" type="#_x0000_t202" style="position:absolute;left:63;top:80507;width:66098;height: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" fillcolor="#e7e6e6 [3214]" strokeweight=".5pt">
                  <v:textbox>
                    <w:txbxContent>
                      <w:p w14:paraId="7BE9096D" w14:textId="21A89C49" w:rsidR="00046A73" w:rsidRPr="005E40DD" w:rsidRDefault="00046A73" w:rsidP="005E40DD">
                        <w:pPr>
                          <w:rPr>
                            <w:rFonts w:cstheme="minorHAnsi"/>
                            <w:sz w:val="18"/>
                            <w:szCs w:val="18"/>
                          </w:rPr>
                        </w:pPr>
                        <w:r w:rsidRPr="005E40DD">
                          <w:rPr>
                            <w:rFonts w:cstheme="minorHAnsi"/>
                            <w:sz w:val="18"/>
                            <w:szCs w:val="18"/>
                          </w:rPr>
                          <w:t>Hvis donor søger om erstatning opretter patienterstatningen en sag i</w:t>
                        </w:r>
                        <w:r w:rsidR="004072D9">
                          <w:rPr>
                            <w:rFonts w:cstheme="minorHAnsi"/>
                            <w:sz w:val="18"/>
                            <w:szCs w:val="18"/>
                          </w:rPr>
                          <w:t xml:space="preserve"> deres digitale </w:t>
                        </w:r>
                        <w:proofErr w:type="gramStart"/>
                        <w:r w:rsidR="004072D9">
                          <w:rPr>
                            <w:rFonts w:cstheme="minorHAnsi"/>
                            <w:sz w:val="18"/>
                            <w:szCs w:val="18"/>
                          </w:rPr>
                          <w:t xml:space="preserve">sagssystem </w:t>
                        </w:r>
                        <w:r w:rsidRPr="005E40DD">
                          <w:rPr>
                            <w:rFonts w:cstheme="minorHAnsi"/>
                            <w:sz w:val="18"/>
                            <w:szCs w:val="18"/>
                          </w:rPr>
                          <w:t xml:space="preserve"> </w:t>
                        </w:r>
                        <w:proofErr w:type="spellStart"/>
                        <w:r w:rsidRPr="005E40DD">
                          <w:rPr>
                            <w:rFonts w:cstheme="minorHAnsi"/>
                            <w:sz w:val="18"/>
                            <w:szCs w:val="18"/>
                          </w:rPr>
                          <w:t>Netservice</w:t>
                        </w:r>
                        <w:proofErr w:type="spellEnd"/>
                        <w:proofErr w:type="gramEnd"/>
                        <w:r w:rsidRPr="005E40DD">
                          <w:rPr>
                            <w:rFonts w:cstheme="minorHAnsi"/>
                            <w:sz w:val="18"/>
                            <w:szCs w:val="18"/>
                          </w:rPr>
                          <w:t>. Her kan donor (og blodbanken) følge med i sagen og se erstatningsudbetalinger. Ved udbetaling af større erstatninger bør der laves opslag i Blodbankens it-system for at se om blodbanken er informeret om skaden og om der er lavet relevant registrering og evt. indberetning. Overvej om det er relevant at kontakte donor.</w:t>
                        </w:r>
                      </w:p>
                    </w:txbxContent>
                  </v:textbox>
                </v:shape>
                <w10:wrap type="tight" anchorx="margin"/>
              </v:group>
            </w:pict>
          </mc:Fallback>
        </mc:AlternateContent>
      </w:r>
      <w:r w:rsidR="00EE3CAC" w:rsidRPr="005369AD">
        <w:rPr>
          <w:b/>
          <w:bCs/>
        </w:rPr>
        <w:t>Bilag 2</w:t>
      </w:r>
      <w:r w:rsidR="001034BA" w:rsidRPr="005369AD">
        <w:rPr>
          <w:b/>
          <w:bCs/>
        </w:rPr>
        <w:t xml:space="preserve"> </w:t>
      </w:r>
      <w:proofErr w:type="spellStart"/>
      <w:r w:rsidR="00311A44">
        <w:rPr>
          <w:b/>
          <w:bCs/>
        </w:rPr>
        <w:t>F</w:t>
      </w:r>
      <w:r w:rsidR="001034BA" w:rsidRPr="005369AD">
        <w:rPr>
          <w:b/>
          <w:bCs/>
        </w:rPr>
        <w:t>lowchart</w:t>
      </w:r>
      <w:proofErr w:type="spellEnd"/>
      <w:r w:rsidR="001034BA" w:rsidRPr="005369AD">
        <w:rPr>
          <w:b/>
          <w:bCs/>
        </w:rPr>
        <w:t xml:space="preserve"> </w:t>
      </w:r>
      <w:r w:rsidR="00311A44">
        <w:rPr>
          <w:b/>
          <w:bCs/>
        </w:rPr>
        <w:t xml:space="preserve">- Forslag til </w:t>
      </w:r>
      <w:r w:rsidR="001034BA" w:rsidRPr="005369AD">
        <w:rPr>
          <w:b/>
          <w:bCs/>
        </w:rPr>
        <w:t>håndtering af bivirkning ved donation</w:t>
      </w:r>
      <w:bookmarkEnd w:id="25"/>
    </w:p>
    <w:p w14:paraId="600214B6" w14:textId="4B160FA7" w:rsidR="00EE3CAC" w:rsidRDefault="00EE3CAC" w:rsidP="007B5A0A"/>
    <w:p w14:paraId="3F06E5EF" w14:textId="77777777" w:rsidR="005E40DD" w:rsidRDefault="005E40DD" w:rsidP="00BB212C">
      <w:pPr>
        <w:pStyle w:val="Overskrift2"/>
        <w:rPr>
          <w:b/>
          <w:bCs/>
        </w:rPr>
        <w:sectPr w:rsidR="005E40DD" w:rsidSect="006A5932">
          <w:pgSz w:w="11906" w:h="16838"/>
          <w:pgMar w:top="1701" w:right="1134" w:bottom="1701" w:left="1134" w:header="708" w:footer="708" w:gutter="0"/>
          <w:cols w:space="708"/>
          <w:docGrid w:linePitch="360"/>
        </w:sectPr>
      </w:pPr>
    </w:p>
    <w:p w14:paraId="7E1BC3E8" w14:textId="32B70D0F" w:rsidR="00BB212C" w:rsidRPr="001034BA" w:rsidRDefault="00BB212C" w:rsidP="00BB212C">
      <w:pPr>
        <w:pStyle w:val="Overskrift2"/>
        <w:rPr>
          <w:b/>
          <w:bCs/>
          <w:lang w:val="en-US"/>
        </w:rPr>
      </w:pPr>
      <w:bookmarkStart w:id="26" w:name="_Toc170715533"/>
      <w:proofErr w:type="spellStart"/>
      <w:r w:rsidRPr="001034BA">
        <w:rPr>
          <w:b/>
          <w:bCs/>
          <w:lang w:val="en-US"/>
        </w:rPr>
        <w:lastRenderedPageBreak/>
        <w:t>Referencer</w:t>
      </w:r>
      <w:bookmarkEnd w:id="26"/>
      <w:proofErr w:type="spellEnd"/>
    </w:p>
    <w:p w14:paraId="307788B7" w14:textId="711DF724" w:rsidR="00BB212C" w:rsidRDefault="00BB212C" w:rsidP="00BB212C">
      <w:pPr>
        <w:rPr>
          <w:lang w:val="en-US"/>
        </w:rPr>
      </w:pPr>
      <w:r w:rsidRPr="00BB212C">
        <w:rPr>
          <w:lang w:val="en-US"/>
        </w:rPr>
        <w:t xml:space="preserve">Bravo M, Kamel H, Custer B, </w:t>
      </w:r>
      <w:proofErr w:type="spellStart"/>
      <w:r w:rsidRPr="00BB212C">
        <w:rPr>
          <w:lang w:val="en-US"/>
        </w:rPr>
        <w:t>Tomasulo</w:t>
      </w:r>
      <w:proofErr w:type="spellEnd"/>
      <w:r w:rsidRPr="00BB212C">
        <w:rPr>
          <w:lang w:val="en-US"/>
        </w:rPr>
        <w:t xml:space="preserve"> P. Fac</w:t>
      </w:r>
      <w:r>
        <w:rPr>
          <w:lang w:val="en-US"/>
        </w:rPr>
        <w:t>tors associated with fainting – before, during and after whole blood donation. Vox Sang 2011; 101: 303-312</w:t>
      </w:r>
    </w:p>
    <w:p w14:paraId="259F25C1" w14:textId="649A4747" w:rsidR="001034BA" w:rsidRDefault="001034BA" w:rsidP="00BB212C">
      <w:pPr>
        <w:rPr>
          <w:lang w:val="en-US"/>
        </w:rPr>
      </w:pPr>
      <w:proofErr w:type="spellStart"/>
      <w:r w:rsidRPr="001034BA">
        <w:rPr>
          <w:lang w:val="en-US"/>
        </w:rPr>
        <w:t>Bruehl</w:t>
      </w:r>
      <w:proofErr w:type="spellEnd"/>
      <w:r w:rsidRPr="001034BA">
        <w:rPr>
          <w:lang w:val="en-US"/>
        </w:rPr>
        <w:t xml:space="preserve"> S. Complex regional pain syndrome. BMJ 2015;351:h273</w:t>
      </w:r>
    </w:p>
    <w:p w14:paraId="0DAD6B7A" w14:textId="5C5D8A4C" w:rsidR="0026560C" w:rsidRDefault="0026560C" w:rsidP="00BB212C">
      <w:pPr>
        <w:rPr>
          <w:lang w:val="en-US"/>
        </w:rPr>
      </w:pPr>
      <w:r w:rsidRPr="0026560C">
        <w:rPr>
          <w:lang w:val="en-US"/>
        </w:rPr>
        <w:t>Donor Adverse Reaction Severity Grading Tool, AABB 2018</w:t>
      </w:r>
    </w:p>
    <w:p w14:paraId="6E76E02E" w14:textId="23B081B0" w:rsidR="007B5A0A" w:rsidRDefault="007B5A0A" w:rsidP="007B5A0A">
      <w:pPr>
        <w:rPr>
          <w:lang w:val="en-US"/>
        </w:rPr>
      </w:pPr>
      <w:r w:rsidRPr="007B5A0A">
        <w:rPr>
          <w:lang w:val="en-US"/>
        </w:rPr>
        <w:t>Gilchrist PT et al. Improving the donation experience and reducing venipuncture pain by addressing fears among whole-blood and plasma donors. Transfusion 2021; 61(7): 2107-2115</w:t>
      </w:r>
    </w:p>
    <w:p w14:paraId="456C14D4" w14:textId="586F2121" w:rsidR="001034BA" w:rsidRPr="00F7321B" w:rsidRDefault="001034BA" w:rsidP="007B5A0A">
      <w:pPr>
        <w:rPr>
          <w:lang w:val="en-US"/>
        </w:rPr>
      </w:pPr>
      <w:r w:rsidRPr="00D75467">
        <w:rPr>
          <w:lang w:val="en-US"/>
        </w:rPr>
        <w:t xml:space="preserve">Gybel-Brask M et al. </w:t>
      </w:r>
      <w:r w:rsidRPr="001034BA">
        <w:rPr>
          <w:lang w:val="en-US"/>
        </w:rPr>
        <w:t xml:space="preserve">The central blood volume as measured by thoracic electrical impedance and plasma </w:t>
      </w:r>
      <w:proofErr w:type="spellStart"/>
      <w:r w:rsidRPr="001034BA">
        <w:rPr>
          <w:lang w:val="en-US"/>
        </w:rPr>
        <w:t>proANP</w:t>
      </w:r>
      <w:proofErr w:type="spellEnd"/>
      <w:r w:rsidRPr="001034BA">
        <w:rPr>
          <w:lang w:val="en-US"/>
        </w:rPr>
        <w:t xml:space="preserve"> is not compromised by donation of 900 mL of blood in men. </w:t>
      </w:r>
      <w:proofErr w:type="spellStart"/>
      <w:r w:rsidRPr="00F7321B">
        <w:rPr>
          <w:lang w:val="en-US"/>
        </w:rPr>
        <w:t>Transfus</w:t>
      </w:r>
      <w:proofErr w:type="spellEnd"/>
      <w:r w:rsidRPr="00F7321B">
        <w:rPr>
          <w:lang w:val="en-US"/>
        </w:rPr>
        <w:t xml:space="preserve"> Med 2020; 30(6): 450-455</w:t>
      </w:r>
    </w:p>
    <w:p w14:paraId="6DA9BDEE" w14:textId="34AA800A" w:rsidR="001034BA" w:rsidRPr="00F7321B" w:rsidRDefault="001034BA" w:rsidP="007B5A0A">
      <w:pPr>
        <w:rPr>
          <w:lang w:val="en-US"/>
        </w:rPr>
      </w:pPr>
      <w:r w:rsidRPr="00F7321B">
        <w:rPr>
          <w:lang w:val="en-US"/>
        </w:rPr>
        <w:t>Jorgensen J, Sorensen BS. Donor vigilance. ISBT Science Series 2008; 3: 48-53</w:t>
      </w:r>
    </w:p>
    <w:p w14:paraId="0BFEC7DE" w14:textId="6599AF08" w:rsidR="0026560C" w:rsidRPr="0026560C" w:rsidRDefault="0026560C" w:rsidP="007B5A0A">
      <w:pPr>
        <w:rPr>
          <w:lang w:val="en-US"/>
        </w:rPr>
      </w:pPr>
      <w:r w:rsidRPr="0026560C">
        <w:rPr>
          <w:lang w:val="en-US"/>
        </w:rPr>
        <w:t xml:space="preserve">Standard for Surveillance of Complications Related to Blood Donation 2014, ISBT working party on </w:t>
      </w:r>
      <w:proofErr w:type="spellStart"/>
      <w:r w:rsidRPr="0026560C">
        <w:rPr>
          <w:lang w:val="en-US"/>
        </w:rPr>
        <w:t>Haemovigilance</w:t>
      </w:r>
      <w:proofErr w:type="spellEnd"/>
    </w:p>
    <w:p w14:paraId="5CD30BE8" w14:textId="3B523438" w:rsidR="007B5A0A" w:rsidRDefault="007B5A0A" w:rsidP="007B5A0A">
      <w:pPr>
        <w:rPr>
          <w:lang w:val="en-US"/>
        </w:rPr>
      </w:pPr>
      <w:r w:rsidRPr="00F7321B">
        <w:rPr>
          <w:lang w:val="en-US"/>
        </w:rPr>
        <w:t xml:space="preserve">Sørensen BS et al. </w:t>
      </w:r>
      <w:r w:rsidRPr="007B5A0A">
        <w:rPr>
          <w:lang w:val="en-US"/>
        </w:rPr>
        <w:t>Pain following blood donation: a questionnaire study of long-term morbidity (LTM) in blood donors. Vox Sang 2015; 109: 18-24</w:t>
      </w:r>
    </w:p>
    <w:p w14:paraId="5BAA13F2" w14:textId="2FD45D56" w:rsidR="001034BA" w:rsidRDefault="001034BA" w:rsidP="007B5A0A">
      <w:pPr>
        <w:rPr>
          <w:lang w:val="en-US"/>
        </w:rPr>
      </w:pPr>
      <w:proofErr w:type="spellStart"/>
      <w:r w:rsidRPr="001034BA">
        <w:rPr>
          <w:lang w:val="en-US"/>
        </w:rPr>
        <w:t>Thijsen</w:t>
      </w:r>
      <w:proofErr w:type="spellEnd"/>
      <w:r w:rsidRPr="001034BA">
        <w:rPr>
          <w:lang w:val="en-US"/>
        </w:rPr>
        <w:t xml:space="preserve"> A et al. Does using applied muscle tension at strategic time points during donation reduce phlebotomist- and donor-reported vasovagal reaction rates? A three-armed randomized controlled trial. Transfusion 2018; ;58(10): 2352-2359</w:t>
      </w:r>
    </w:p>
    <w:p w14:paraId="66BC2A33" w14:textId="2FE6B7A6" w:rsidR="001034BA" w:rsidRDefault="001034BA" w:rsidP="007B5A0A">
      <w:pPr>
        <w:rPr>
          <w:lang w:val="en-US"/>
        </w:rPr>
      </w:pPr>
      <w:r w:rsidRPr="00D75467">
        <w:rPr>
          <w:lang w:val="en-US"/>
        </w:rPr>
        <w:t>Wiersum-</w:t>
      </w:r>
      <w:proofErr w:type="spellStart"/>
      <w:r w:rsidRPr="00D75467">
        <w:rPr>
          <w:lang w:val="en-US"/>
        </w:rPr>
        <w:t>Osselton</w:t>
      </w:r>
      <w:proofErr w:type="spellEnd"/>
      <w:r w:rsidRPr="00D75467">
        <w:rPr>
          <w:lang w:val="en-US"/>
        </w:rPr>
        <w:t xml:space="preserve"> J et al. </w:t>
      </w:r>
      <w:r w:rsidRPr="001034BA">
        <w:rPr>
          <w:lang w:val="en-US"/>
        </w:rPr>
        <w:t xml:space="preserve">An intervention study for the prevention of vasovagal reactions and evaluating donors’ experience: Analysis of donors’ return for subsequent donation. Vox Sang 2021 </w:t>
      </w:r>
      <w:proofErr w:type="spellStart"/>
      <w:r w:rsidRPr="001034BA">
        <w:rPr>
          <w:lang w:val="en-US"/>
        </w:rPr>
        <w:t>Epub</w:t>
      </w:r>
      <w:proofErr w:type="spellEnd"/>
    </w:p>
    <w:p w14:paraId="412016A6" w14:textId="107EAACD" w:rsidR="006C2255" w:rsidRDefault="006C2255" w:rsidP="007B5A0A">
      <w:pPr>
        <w:rPr>
          <w:lang w:val="en-US"/>
        </w:rPr>
      </w:pPr>
    </w:p>
    <w:p w14:paraId="3B9A66B1" w14:textId="77777777" w:rsidR="006C2255" w:rsidRDefault="006C2255" w:rsidP="006C2255">
      <w:pPr>
        <w:pStyle w:val="Overskrift2"/>
        <w:rPr>
          <w:lang w:val="en-US"/>
        </w:rPr>
        <w:sectPr w:rsidR="006C2255">
          <w:pgSz w:w="11906" w:h="16838"/>
          <w:pgMar w:top="1701" w:right="1134" w:bottom="1701" w:left="1134" w:header="708" w:footer="708" w:gutter="0"/>
          <w:cols w:space="708"/>
          <w:docGrid w:linePitch="360"/>
        </w:sectPr>
      </w:pPr>
    </w:p>
    <w:p w14:paraId="666B2DB9" w14:textId="1C8FF9BF" w:rsidR="006C2255" w:rsidRDefault="006C2255" w:rsidP="006C2255">
      <w:pPr>
        <w:pStyle w:val="Overskrift2"/>
        <w:rPr>
          <w:lang w:val="en-US"/>
        </w:rPr>
      </w:pPr>
      <w:bookmarkStart w:id="27" w:name="_Toc170715534"/>
      <w:proofErr w:type="spellStart"/>
      <w:r>
        <w:rPr>
          <w:lang w:val="en-US"/>
        </w:rPr>
        <w:lastRenderedPageBreak/>
        <w:t>Versionslog</w:t>
      </w:r>
      <w:bookmarkEnd w:id="27"/>
      <w:proofErr w:type="spellEnd"/>
    </w:p>
    <w:p w14:paraId="5A6CDD71" w14:textId="77777777" w:rsidR="006C2255" w:rsidRPr="006C2255" w:rsidRDefault="006C2255" w:rsidP="006C2255">
      <w:pPr>
        <w:rPr>
          <w:lang w:val="en-US"/>
        </w:rPr>
      </w:pPr>
    </w:p>
    <w:tbl>
      <w:tblPr>
        <w:tblStyle w:val="Tabel-Gitter"/>
        <w:tblW w:w="0" w:type="auto"/>
        <w:tblLook w:val="04A0" w:firstRow="1" w:lastRow="0" w:firstColumn="1" w:lastColumn="0" w:noHBand="0" w:noVBand="1"/>
      </w:tblPr>
      <w:tblGrid>
        <w:gridCol w:w="2122"/>
        <w:gridCol w:w="7506"/>
      </w:tblGrid>
      <w:tr w:rsidR="006C2255" w14:paraId="029D8244" w14:textId="77777777" w:rsidTr="006C2255">
        <w:tc>
          <w:tcPr>
            <w:tcW w:w="2122" w:type="dxa"/>
          </w:tcPr>
          <w:p w14:paraId="1DF9F4F8" w14:textId="4838FC66" w:rsidR="006C2255" w:rsidRDefault="006C2255" w:rsidP="006C2255">
            <w:pPr>
              <w:rPr>
                <w:lang w:val="en-US"/>
              </w:rPr>
            </w:pPr>
            <w:r>
              <w:rPr>
                <w:lang w:val="en-US"/>
              </w:rPr>
              <w:t>Version</w:t>
            </w:r>
          </w:p>
        </w:tc>
        <w:tc>
          <w:tcPr>
            <w:tcW w:w="7506" w:type="dxa"/>
          </w:tcPr>
          <w:p w14:paraId="1937895D" w14:textId="566C1030" w:rsidR="006C2255" w:rsidRDefault="006C2255" w:rsidP="006C2255">
            <w:pPr>
              <w:rPr>
                <w:lang w:val="en-US"/>
              </w:rPr>
            </w:pPr>
            <w:proofErr w:type="spellStart"/>
            <w:r>
              <w:rPr>
                <w:lang w:val="en-US"/>
              </w:rPr>
              <w:t>Ændring</w:t>
            </w:r>
            <w:proofErr w:type="spellEnd"/>
          </w:p>
        </w:tc>
      </w:tr>
      <w:tr w:rsidR="006C2255" w:rsidRPr="006C2255" w14:paraId="685E6A58" w14:textId="77777777" w:rsidTr="006C2255">
        <w:tc>
          <w:tcPr>
            <w:tcW w:w="2122" w:type="dxa"/>
          </w:tcPr>
          <w:p w14:paraId="6F9B1722" w14:textId="76BBA19D" w:rsidR="006C2255" w:rsidRDefault="006C2255" w:rsidP="006C2255">
            <w:pPr>
              <w:rPr>
                <w:lang w:val="en-US"/>
              </w:rPr>
            </w:pPr>
            <w:r>
              <w:rPr>
                <w:lang w:val="en-US"/>
              </w:rPr>
              <w:t>1.0</w:t>
            </w:r>
          </w:p>
        </w:tc>
        <w:tc>
          <w:tcPr>
            <w:tcW w:w="7506" w:type="dxa"/>
          </w:tcPr>
          <w:p w14:paraId="35C2649F" w14:textId="77777777" w:rsidR="00E140F4" w:rsidRDefault="006C2255" w:rsidP="006C2255">
            <w:r w:rsidRPr="006C2255">
              <w:t xml:space="preserve">Ny. </w:t>
            </w:r>
          </w:p>
          <w:p w14:paraId="2BD3688B" w14:textId="322D6D4A" w:rsidR="006C2255" w:rsidRPr="006C2255" w:rsidRDefault="00E140F4" w:rsidP="006C2255">
            <w:r>
              <w:t xml:space="preserve">Indeholder </w:t>
            </w:r>
            <w:r w:rsidR="000E3A19">
              <w:t>”</w:t>
            </w:r>
            <w:r w:rsidR="006C2255" w:rsidRPr="006C2255">
              <w:t>Vejledningen Donorbivirkning National Registrering v</w:t>
            </w:r>
            <w:r w:rsidR="006C2255">
              <w:t xml:space="preserve">ersion </w:t>
            </w:r>
            <w:r w:rsidR="0019762E">
              <w:t>3</w:t>
            </w:r>
            <w:r w:rsidR="006C2255">
              <w:t>_21-06-2021</w:t>
            </w:r>
            <w:r w:rsidR="000E3A19">
              <w:t>”</w:t>
            </w:r>
            <w:r w:rsidR="006C2255">
              <w:t xml:space="preserve"> som herefter </w:t>
            </w:r>
            <w:r>
              <w:t xml:space="preserve">gøres historisk. </w:t>
            </w:r>
          </w:p>
        </w:tc>
      </w:tr>
      <w:tr w:rsidR="006C2255" w:rsidRPr="006C2255" w14:paraId="2DA89AD7" w14:textId="77777777" w:rsidTr="006C2255">
        <w:tc>
          <w:tcPr>
            <w:tcW w:w="2122" w:type="dxa"/>
          </w:tcPr>
          <w:p w14:paraId="0922A79C" w14:textId="59E0A99F" w:rsidR="006C2255" w:rsidRPr="006C2255" w:rsidRDefault="00F7321B" w:rsidP="006C2255">
            <w:r>
              <w:t>1.1</w:t>
            </w:r>
          </w:p>
        </w:tc>
        <w:tc>
          <w:tcPr>
            <w:tcW w:w="7506" w:type="dxa"/>
          </w:tcPr>
          <w:p w14:paraId="1184C5E5" w14:textId="60267D5B" w:rsidR="006C2255" w:rsidRPr="006C2255" w:rsidRDefault="00F7321B" w:rsidP="006C2255">
            <w:r>
              <w:t>Indsat linje om information til donor ved akut forværring</w:t>
            </w:r>
            <w:r w:rsidR="00083A1E">
              <w:t xml:space="preserve"> i afsnittet ”</w:t>
            </w:r>
            <w:r w:rsidR="00083A1E" w:rsidRPr="00083A1E">
              <w:t>Information til donorer med en bivirkning/skade</w:t>
            </w:r>
            <w:r w:rsidR="00083A1E">
              <w:t>”</w:t>
            </w:r>
          </w:p>
        </w:tc>
      </w:tr>
      <w:tr w:rsidR="006C2255" w:rsidRPr="006C2255" w14:paraId="32E85DEF" w14:textId="77777777" w:rsidTr="006C2255">
        <w:tc>
          <w:tcPr>
            <w:tcW w:w="2122" w:type="dxa"/>
          </w:tcPr>
          <w:p w14:paraId="3848E9DF" w14:textId="5C1843B5" w:rsidR="006C2255" w:rsidRPr="006C2255" w:rsidRDefault="00F43C39" w:rsidP="006C2255">
            <w:r>
              <w:t>1.2</w:t>
            </w:r>
          </w:p>
        </w:tc>
        <w:tc>
          <w:tcPr>
            <w:tcW w:w="7506" w:type="dxa"/>
          </w:tcPr>
          <w:p w14:paraId="6040D997" w14:textId="5B4DADBC" w:rsidR="006C2255" w:rsidRPr="006C2255" w:rsidRDefault="00F43C39" w:rsidP="006C2255">
            <w:r>
              <w:t>Indsat et afsnit omkring indberetning af alvorlige kardiovaskulære events eller død (side 5)</w:t>
            </w:r>
          </w:p>
        </w:tc>
      </w:tr>
      <w:tr w:rsidR="00CA5139" w:rsidRPr="006C2255" w14:paraId="47670369" w14:textId="77777777" w:rsidTr="006C2255">
        <w:tc>
          <w:tcPr>
            <w:tcW w:w="2122" w:type="dxa"/>
          </w:tcPr>
          <w:p w14:paraId="674DCBAF" w14:textId="0EEAED71" w:rsidR="00CA5139" w:rsidRDefault="00CA5139" w:rsidP="006C2255">
            <w:r>
              <w:t>1.3</w:t>
            </w:r>
          </w:p>
        </w:tc>
        <w:tc>
          <w:tcPr>
            <w:tcW w:w="7506" w:type="dxa"/>
          </w:tcPr>
          <w:p w14:paraId="6F11A1DF" w14:textId="31292574" w:rsidR="00B25F14" w:rsidRDefault="00CA5139" w:rsidP="006C2255">
            <w:r w:rsidRPr="00B25F14">
              <w:t>Titel ændret</w:t>
            </w:r>
            <w:r w:rsidRPr="00B25F14">
              <w:br/>
            </w:r>
            <w:r w:rsidR="00DF6D65">
              <w:t>F</w:t>
            </w:r>
            <w:r w:rsidRPr="00B25F14">
              <w:t>jernet billede</w:t>
            </w:r>
            <w:r w:rsidR="00DF6D65">
              <w:t xml:space="preserve"> fra forside</w:t>
            </w:r>
            <w:r w:rsidRPr="00B25F14">
              <w:br/>
            </w:r>
            <w:r w:rsidR="005A0D2F" w:rsidRPr="00B25F14">
              <w:t xml:space="preserve">Indsat revision version 1.3 </w:t>
            </w:r>
            <w:proofErr w:type="spellStart"/>
            <w:r w:rsidR="005A0D2F" w:rsidRPr="00B25F14">
              <w:t>Hæmovigilanceudvalget</w:t>
            </w:r>
            <w:proofErr w:type="spellEnd"/>
            <w:r w:rsidR="005A0D2F" w:rsidRPr="00B25F14">
              <w:t xml:space="preserve"> medlemmer i rev.</w:t>
            </w:r>
            <w:r w:rsidR="00B25F14">
              <w:br/>
              <w:t>S</w:t>
            </w:r>
            <w:r w:rsidR="00B25F14" w:rsidRPr="00B25F14">
              <w:t>. 3 ”Håndtering af donorbivirkninger</w:t>
            </w:r>
            <w:r w:rsidR="005444B9">
              <w:t>”</w:t>
            </w:r>
            <w:r w:rsidR="00B25F14" w:rsidRPr="00B25F14">
              <w:t xml:space="preserve"> sproglig tilretning</w:t>
            </w:r>
          </w:p>
          <w:p w14:paraId="7C7F22C3" w14:textId="0DE923BE" w:rsidR="00EF0AAC" w:rsidRPr="00DB6CF5" w:rsidRDefault="00EF0AAC" w:rsidP="006C2255">
            <w:r>
              <w:t xml:space="preserve">Tabel 1, 2 og 3 kodning i </w:t>
            </w:r>
            <w:proofErr w:type="spellStart"/>
            <w:r w:rsidRPr="00AA63AF">
              <w:t>Blödflödet</w:t>
            </w:r>
            <w:proofErr w:type="spellEnd"/>
            <w:r w:rsidRPr="00AA63AF">
              <w:t xml:space="preserve"> fjernet</w:t>
            </w:r>
          </w:p>
          <w:p w14:paraId="2E8BE1ED" w14:textId="16389ABC" w:rsidR="00EF0AAC" w:rsidRPr="00B25F14" w:rsidRDefault="00EF0AAC" w:rsidP="006C2255">
            <w:r>
              <w:t>Bilag 2 Kolonnen med ”Nej, ingen bivirkning” fjernet</w:t>
            </w:r>
          </w:p>
        </w:tc>
      </w:tr>
    </w:tbl>
    <w:p w14:paraId="31902AA0" w14:textId="77777777" w:rsidR="006C2255" w:rsidRPr="006C2255" w:rsidRDefault="006C2255" w:rsidP="006C2255"/>
    <w:p w14:paraId="5B409763" w14:textId="77777777" w:rsidR="006C2255" w:rsidRPr="006C2255" w:rsidRDefault="006C2255" w:rsidP="007B5A0A"/>
    <w:sectPr w:rsidR="006C2255" w:rsidRPr="006C225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CA56" w14:textId="77777777" w:rsidR="00046A73" w:rsidRDefault="00046A73" w:rsidP="00B63655">
      <w:pPr>
        <w:spacing w:after="0" w:line="240" w:lineRule="auto"/>
      </w:pPr>
      <w:r>
        <w:separator/>
      </w:r>
    </w:p>
  </w:endnote>
  <w:endnote w:type="continuationSeparator" w:id="0">
    <w:p w14:paraId="17539365" w14:textId="77777777" w:rsidR="00046A73" w:rsidRDefault="00046A73" w:rsidP="00B6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063884"/>
      <w:docPartObj>
        <w:docPartGallery w:val="Page Numbers (Bottom of Page)"/>
        <w:docPartUnique/>
      </w:docPartObj>
    </w:sdtPr>
    <w:sdtEndPr/>
    <w:sdtContent>
      <w:p w14:paraId="04536339" w14:textId="43F45A2C" w:rsidR="00046A73" w:rsidRDefault="00046A73">
        <w:pPr>
          <w:pStyle w:val="Sidefod"/>
        </w:pPr>
        <w:r>
          <w:fldChar w:fldCharType="begin"/>
        </w:r>
        <w:r>
          <w:instrText>PAGE   \* MERGEFORMAT</w:instrText>
        </w:r>
        <w:r>
          <w:fldChar w:fldCharType="separate"/>
        </w:r>
        <w:r w:rsidR="008E0D36">
          <w:rPr>
            <w:noProof/>
          </w:rPr>
          <w:t>20</w:t>
        </w:r>
        <w:r>
          <w:fldChar w:fldCharType="end"/>
        </w:r>
      </w:p>
    </w:sdtContent>
  </w:sdt>
  <w:p w14:paraId="0B9E9C32" w14:textId="77777777" w:rsidR="00046A73" w:rsidRDefault="00046A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9359" w14:textId="77777777" w:rsidR="00046A73" w:rsidRDefault="00046A73" w:rsidP="00B63655">
      <w:pPr>
        <w:spacing w:after="0" w:line="240" w:lineRule="auto"/>
      </w:pPr>
      <w:r>
        <w:separator/>
      </w:r>
    </w:p>
  </w:footnote>
  <w:footnote w:type="continuationSeparator" w:id="0">
    <w:p w14:paraId="275C47C3" w14:textId="77777777" w:rsidR="00046A73" w:rsidRDefault="00046A73" w:rsidP="00B63655">
      <w:pPr>
        <w:spacing w:after="0" w:line="240" w:lineRule="auto"/>
      </w:pPr>
      <w:r>
        <w:continuationSeparator/>
      </w:r>
    </w:p>
  </w:footnote>
  <w:footnote w:id="1">
    <w:p w14:paraId="291744F6" w14:textId="4439FDA3" w:rsidR="00DB5AB6" w:rsidRPr="00B63655" w:rsidRDefault="00B25F14" w:rsidP="00DB5AB6">
      <w:pPr>
        <w:pStyle w:val="Fodnotetekst"/>
        <w:rPr>
          <w:lang w:val="en-US"/>
        </w:rPr>
      </w:pPr>
      <w:r>
        <w:rPr>
          <w:lang w:val="en-US"/>
        </w:rPr>
        <w:fldChar w:fldCharType="begin"/>
      </w:r>
      <w:r>
        <w:rPr>
          <w:lang w:val="en-US"/>
        </w:rPr>
        <w:instrText>HYPERLINK "https://dski.dk/aarsrapport-donorbivirkninger/"</w:instrText>
      </w:r>
      <w:r>
        <w:rPr>
          <w:lang w:val="en-US"/>
        </w:rPr>
      </w:r>
      <w:r>
        <w:rPr>
          <w:lang w:val="en-US"/>
        </w:rPr>
        <w:fldChar w:fldCharType="separate"/>
      </w:r>
      <w:r w:rsidRPr="00B25F14">
        <w:rPr>
          <w:rStyle w:val="Hyperlink"/>
          <w:vertAlign w:val="superscript"/>
        </w:rPr>
        <w:footnoteRef/>
      </w:r>
      <w:r w:rsidRPr="00B25F14">
        <w:rPr>
          <w:rStyle w:val="Hyperlink"/>
          <w:lang w:val="en-US"/>
        </w:rPr>
        <w:t xml:space="preserve"> DSKI. Blood donation adverse reactions and events, Annual report 2020 og 2021</w:t>
      </w:r>
      <w:r>
        <w:rPr>
          <w:lang w:val="en-US"/>
        </w:rPr>
        <w:fldChar w:fldCharType="end"/>
      </w:r>
    </w:p>
  </w:footnote>
  <w:footnote w:id="2">
    <w:p w14:paraId="09939FB3" w14:textId="4EDC3422" w:rsidR="00046A73" w:rsidRDefault="00046A73">
      <w:pPr>
        <w:pStyle w:val="Fodnotetekst"/>
      </w:pPr>
      <w:r>
        <w:rPr>
          <w:rStyle w:val="Fodnotehenvisning"/>
        </w:rPr>
        <w:footnoteRef/>
      </w:r>
      <w:r>
        <w:t xml:space="preserve"> </w:t>
      </w:r>
      <w:r w:rsidRPr="00E474E2">
        <w:t>Ovenstående definition svarer ikke til definitionen i BEK nr. 1016 af 09/10/2006. Dette er dog bevidst</w:t>
      </w:r>
      <w:r>
        <w:t>,</w:t>
      </w:r>
      <w:r w:rsidRPr="00E474E2">
        <w:t xml:space="preserve"> da vi ønsker at udvide registreringen i Prosang til at omfatte alle bivirkninger i relation til tapningen og vi ønsker at anvende en definition på sværhedsgrad</w:t>
      </w:r>
      <w:r>
        <w:t>,</w:t>
      </w:r>
      <w:r w:rsidRPr="00E474E2">
        <w:t xml:space="preserve"> som er tilpasset en person som i udgangspunktet er rask. Niveauet for alvorlige bivirkninger bør ved raske donorer være lavere end patienter.</w:t>
      </w:r>
    </w:p>
  </w:footnote>
  <w:footnote w:id="3">
    <w:p w14:paraId="3F028E23" w14:textId="77777777" w:rsidR="00046A73" w:rsidRPr="00BE075B" w:rsidRDefault="00046A73" w:rsidP="00DB4552">
      <w:pPr>
        <w:pStyle w:val="Fodnotetekst"/>
        <w:rPr>
          <w:lang w:val="en-US"/>
        </w:rPr>
      </w:pPr>
      <w:r>
        <w:rPr>
          <w:rStyle w:val="Fodnotehenvisning"/>
        </w:rPr>
        <w:footnoteRef/>
      </w:r>
      <w:r w:rsidRPr="00CD1D14">
        <w:rPr>
          <w:lang w:val="en-US"/>
        </w:rPr>
        <w:t xml:space="preserve"> </w:t>
      </w:r>
      <w:proofErr w:type="spellStart"/>
      <w:r w:rsidRPr="00CD1D14">
        <w:rPr>
          <w:lang w:val="en-US"/>
        </w:rPr>
        <w:t>Thijsen</w:t>
      </w:r>
      <w:proofErr w:type="spellEnd"/>
      <w:r w:rsidRPr="00CD1D14">
        <w:rPr>
          <w:lang w:val="en-US"/>
        </w:rPr>
        <w:t xml:space="preserve"> A et al. </w:t>
      </w:r>
      <w:r w:rsidRPr="00BE075B">
        <w:rPr>
          <w:lang w:val="en-US"/>
        </w:rPr>
        <w:t>Trends in return behavior after an adverse event in Australian whole blood and plasma donors</w:t>
      </w:r>
      <w:r>
        <w:rPr>
          <w:lang w:val="en-US"/>
        </w:rPr>
        <w:t xml:space="preserve">. </w:t>
      </w:r>
      <w:r w:rsidRPr="00BE075B">
        <w:rPr>
          <w:lang w:val="en-US"/>
        </w:rPr>
        <w:t>Transfusion</w:t>
      </w:r>
      <w:r>
        <w:rPr>
          <w:lang w:val="en-US"/>
        </w:rPr>
        <w:t xml:space="preserve"> </w:t>
      </w:r>
      <w:r w:rsidRPr="00BE075B">
        <w:rPr>
          <w:lang w:val="en-US"/>
        </w:rPr>
        <w:t>2019;</w:t>
      </w:r>
      <w:r>
        <w:rPr>
          <w:lang w:val="en-US"/>
        </w:rPr>
        <w:t xml:space="preserve"> </w:t>
      </w:r>
      <w:r w:rsidRPr="00BE075B">
        <w:rPr>
          <w:lang w:val="en-US"/>
        </w:rPr>
        <w:t>59(10):</w:t>
      </w:r>
      <w:r>
        <w:rPr>
          <w:lang w:val="en-US"/>
        </w:rPr>
        <w:t xml:space="preserve"> </w:t>
      </w:r>
      <w:r w:rsidRPr="00BE075B">
        <w:rPr>
          <w:lang w:val="en-US"/>
        </w:rPr>
        <w:t>3157-3163</w:t>
      </w:r>
    </w:p>
  </w:footnote>
  <w:footnote w:id="4">
    <w:p w14:paraId="6013AFE7" w14:textId="77777777" w:rsidR="00046A73" w:rsidRPr="000D4689" w:rsidRDefault="00046A73" w:rsidP="00DB4552">
      <w:pPr>
        <w:pStyle w:val="Fodnotetekst"/>
        <w:rPr>
          <w:lang w:val="en-US"/>
        </w:rPr>
      </w:pPr>
      <w:r>
        <w:rPr>
          <w:rStyle w:val="Fodnotehenvisning"/>
        </w:rPr>
        <w:footnoteRef/>
      </w:r>
      <w:r w:rsidRPr="00CD1D14">
        <w:rPr>
          <w:lang w:val="en-US"/>
        </w:rPr>
        <w:t xml:space="preserve"> </w:t>
      </w:r>
      <w:proofErr w:type="spellStart"/>
      <w:r w:rsidRPr="00CD1D14">
        <w:rPr>
          <w:lang w:val="en-US"/>
        </w:rPr>
        <w:t>Thijsen</w:t>
      </w:r>
      <w:proofErr w:type="spellEnd"/>
      <w:r w:rsidRPr="00CD1D14">
        <w:rPr>
          <w:lang w:val="en-US"/>
        </w:rPr>
        <w:t xml:space="preserve"> A et al. </w:t>
      </w:r>
      <w:r w:rsidRPr="00F67762">
        <w:rPr>
          <w:lang w:val="en-US"/>
        </w:rPr>
        <w:t xml:space="preserve">Does using applied muscle tension at strategic time points during donation reduce phlebotomist- and donor-reported vasovagal reaction rates? </w:t>
      </w:r>
      <w:r w:rsidRPr="000D4689">
        <w:rPr>
          <w:lang w:val="en-US"/>
        </w:rPr>
        <w:t>A three-armed randomized controlled trial. Transfusion 2018</w:t>
      </w:r>
      <w:r>
        <w:rPr>
          <w:lang w:val="en-US"/>
        </w:rPr>
        <w:t xml:space="preserve">; </w:t>
      </w:r>
      <w:r w:rsidRPr="000D4689">
        <w:rPr>
          <w:lang w:val="en-US"/>
        </w:rPr>
        <w:t>;58(10):</w:t>
      </w:r>
      <w:r>
        <w:rPr>
          <w:lang w:val="en-US"/>
        </w:rPr>
        <w:t xml:space="preserve"> </w:t>
      </w:r>
      <w:r w:rsidRPr="000D4689">
        <w:rPr>
          <w:lang w:val="en-US"/>
        </w:rPr>
        <w:t>2352-2359</w:t>
      </w:r>
    </w:p>
  </w:footnote>
  <w:footnote w:id="5">
    <w:p w14:paraId="6E500CED" w14:textId="77777777" w:rsidR="00046A73" w:rsidRPr="000D4689" w:rsidRDefault="00046A73" w:rsidP="00DB4552">
      <w:pPr>
        <w:pStyle w:val="Fodnotetekst"/>
        <w:rPr>
          <w:lang w:val="en-US"/>
        </w:rPr>
      </w:pPr>
      <w:r>
        <w:rPr>
          <w:rStyle w:val="Fodnotehenvisning"/>
        </w:rPr>
        <w:footnoteRef/>
      </w:r>
      <w:r w:rsidRPr="000D4689">
        <w:rPr>
          <w:lang w:val="en-US"/>
        </w:rPr>
        <w:t xml:space="preserve"> Bravo M et al. Factors associated with fainting – before, during and after</w:t>
      </w:r>
      <w:r>
        <w:rPr>
          <w:lang w:val="en-US"/>
        </w:rPr>
        <w:t xml:space="preserve"> </w:t>
      </w:r>
      <w:r w:rsidRPr="000D4689">
        <w:rPr>
          <w:lang w:val="en-US"/>
        </w:rPr>
        <w:t>whole blood donation.</w:t>
      </w:r>
      <w:r>
        <w:rPr>
          <w:lang w:val="en-US"/>
        </w:rPr>
        <w:t xml:space="preserve"> </w:t>
      </w:r>
      <w:r w:rsidRPr="000D4689">
        <w:rPr>
          <w:lang w:val="en-US"/>
        </w:rPr>
        <w:t>Vox Sang</w:t>
      </w:r>
      <w:r>
        <w:rPr>
          <w:lang w:val="en-US"/>
        </w:rPr>
        <w:t xml:space="preserve"> </w:t>
      </w:r>
      <w:r w:rsidRPr="000D4689">
        <w:rPr>
          <w:lang w:val="en-US"/>
        </w:rPr>
        <w:t>2011</w:t>
      </w:r>
      <w:r>
        <w:rPr>
          <w:lang w:val="en-US"/>
        </w:rPr>
        <w:t xml:space="preserve">; </w:t>
      </w:r>
      <w:r w:rsidRPr="000D4689">
        <w:rPr>
          <w:lang w:val="en-US"/>
        </w:rPr>
        <w:t>101(4):</w:t>
      </w:r>
      <w:r>
        <w:rPr>
          <w:lang w:val="en-US"/>
        </w:rPr>
        <w:t xml:space="preserve"> </w:t>
      </w:r>
      <w:r w:rsidRPr="000D4689">
        <w:rPr>
          <w:lang w:val="en-US"/>
        </w:rPr>
        <w:t>303-12</w:t>
      </w:r>
    </w:p>
  </w:footnote>
  <w:footnote w:id="6">
    <w:p w14:paraId="100CE267" w14:textId="77777777" w:rsidR="00046A73" w:rsidRPr="00CD1D14" w:rsidRDefault="00046A73" w:rsidP="00DB4552">
      <w:pPr>
        <w:pStyle w:val="Fodnotetekst"/>
        <w:rPr>
          <w:lang w:val="en-US"/>
        </w:rPr>
      </w:pPr>
      <w:r>
        <w:rPr>
          <w:rStyle w:val="Fodnotehenvisning"/>
        </w:rPr>
        <w:footnoteRef/>
      </w:r>
      <w:r w:rsidRPr="0009503E">
        <w:rPr>
          <w:lang w:val="en-US"/>
        </w:rPr>
        <w:t xml:space="preserve"> Bravo M et al. Factors associated with fainting – before, during and after whole blood donation. </w:t>
      </w:r>
      <w:r w:rsidRPr="00CD1D14">
        <w:rPr>
          <w:lang w:val="en-US"/>
        </w:rPr>
        <w:t>Vox Sang 2011; 101(4): 303-12</w:t>
      </w:r>
    </w:p>
  </w:footnote>
  <w:footnote w:id="7">
    <w:p w14:paraId="59563819" w14:textId="77777777" w:rsidR="00046A73" w:rsidRPr="00CD1D14" w:rsidRDefault="00046A73" w:rsidP="00DB4552">
      <w:pPr>
        <w:pStyle w:val="Fodnotetekst"/>
        <w:rPr>
          <w:lang w:val="en-US"/>
        </w:rPr>
      </w:pPr>
      <w:r>
        <w:rPr>
          <w:rStyle w:val="Fodnotehenvisning"/>
        </w:rPr>
        <w:footnoteRef/>
      </w:r>
      <w:r w:rsidRPr="0009503E">
        <w:rPr>
          <w:lang w:val="en-US"/>
        </w:rPr>
        <w:t xml:space="preserve"> Gilchrist PT et al. Improving the donation experience and reducing venipuncture pain by addressing fears among whole-blood and plasma donors. </w:t>
      </w:r>
      <w:r w:rsidRPr="00CD1D14">
        <w:rPr>
          <w:lang w:val="en-US"/>
        </w:rPr>
        <w:t>Transfusion 2021; 61(7): 2107-2115</w:t>
      </w:r>
    </w:p>
  </w:footnote>
  <w:footnote w:id="8">
    <w:p w14:paraId="5BB2F724" w14:textId="77777777" w:rsidR="00046A73" w:rsidRPr="000D4689" w:rsidRDefault="00046A73" w:rsidP="00DB4552">
      <w:pPr>
        <w:pStyle w:val="Fodnotetekst"/>
        <w:rPr>
          <w:lang w:val="en-US"/>
        </w:rPr>
      </w:pPr>
      <w:r>
        <w:rPr>
          <w:rStyle w:val="Fodnotehenvisning"/>
        </w:rPr>
        <w:footnoteRef/>
      </w:r>
      <w:r w:rsidRPr="000D4689">
        <w:rPr>
          <w:lang w:val="en-US"/>
        </w:rPr>
        <w:t xml:space="preserve"> Gilchrist PT et al. </w:t>
      </w:r>
      <w:r>
        <w:rPr>
          <w:lang w:val="en-US"/>
        </w:rPr>
        <w:t>I</w:t>
      </w:r>
      <w:r w:rsidRPr="000D4689">
        <w:rPr>
          <w:lang w:val="en-US"/>
        </w:rPr>
        <w:t>mproving the donation experience and reducing</w:t>
      </w:r>
      <w:r>
        <w:rPr>
          <w:lang w:val="en-US"/>
        </w:rPr>
        <w:t xml:space="preserve"> </w:t>
      </w:r>
      <w:r w:rsidRPr="000D4689">
        <w:rPr>
          <w:lang w:val="en-US"/>
        </w:rPr>
        <w:t>venipuncture pain by addressing fears among whole-blood</w:t>
      </w:r>
      <w:r>
        <w:rPr>
          <w:lang w:val="en-US"/>
        </w:rPr>
        <w:t xml:space="preserve"> </w:t>
      </w:r>
      <w:r w:rsidRPr="000D4689">
        <w:rPr>
          <w:lang w:val="en-US"/>
        </w:rPr>
        <w:t>and plasma donors</w:t>
      </w:r>
      <w:r>
        <w:rPr>
          <w:lang w:val="en-US"/>
        </w:rPr>
        <w:t>. Transfusion 2021; 6</w:t>
      </w:r>
      <w:r w:rsidRPr="000D4689">
        <w:rPr>
          <w:lang w:val="en-US"/>
        </w:rPr>
        <w:t>1</w:t>
      </w:r>
      <w:r>
        <w:rPr>
          <w:lang w:val="en-US"/>
        </w:rPr>
        <w:t>(</w:t>
      </w:r>
      <w:r w:rsidRPr="000D4689">
        <w:rPr>
          <w:lang w:val="en-US"/>
        </w:rPr>
        <w:t>7</w:t>
      </w:r>
      <w:r>
        <w:rPr>
          <w:lang w:val="en-US"/>
        </w:rPr>
        <w:t>): 2</w:t>
      </w:r>
      <w:r w:rsidRPr="000D4689">
        <w:rPr>
          <w:lang w:val="en-US"/>
        </w:rPr>
        <w:t>107-2115</w:t>
      </w:r>
      <w:r>
        <w:rPr>
          <w:lang w:val="en-US"/>
        </w:rPr>
        <w:t xml:space="preserve">, </w:t>
      </w:r>
    </w:p>
  </w:footnote>
  <w:footnote w:id="9">
    <w:p w14:paraId="7BBFF4AB" w14:textId="77777777" w:rsidR="00046A73" w:rsidRPr="00796612" w:rsidRDefault="00046A73" w:rsidP="00DB4552">
      <w:pPr>
        <w:pStyle w:val="Fodnotetekst"/>
        <w:rPr>
          <w:lang w:val="en-US"/>
        </w:rPr>
      </w:pPr>
      <w:r>
        <w:rPr>
          <w:rStyle w:val="Fodnotehenvisning"/>
        </w:rPr>
        <w:footnoteRef/>
      </w:r>
      <w:r w:rsidRPr="00D75467">
        <w:rPr>
          <w:lang w:val="en-US"/>
        </w:rPr>
        <w:t xml:space="preserve"> Wiersum-</w:t>
      </w:r>
      <w:proofErr w:type="spellStart"/>
      <w:r w:rsidRPr="00D75467">
        <w:rPr>
          <w:lang w:val="en-US"/>
        </w:rPr>
        <w:t>Osselton</w:t>
      </w:r>
      <w:proofErr w:type="spellEnd"/>
      <w:r w:rsidRPr="00D75467">
        <w:rPr>
          <w:lang w:val="en-US"/>
        </w:rPr>
        <w:t xml:space="preserve"> J et al. </w:t>
      </w:r>
      <w:r w:rsidRPr="00796612">
        <w:rPr>
          <w:lang w:val="en-US"/>
        </w:rPr>
        <w:t xml:space="preserve">An intervention study for the prevention of vasovagal reactions and evaluating donors’ experience: Analysis of donors’ return for subsequent donation. Vox Sang 2021 </w:t>
      </w:r>
      <w:proofErr w:type="spellStart"/>
      <w:r w:rsidRPr="00796612">
        <w:rPr>
          <w:lang w:val="en-US"/>
        </w:rPr>
        <w:t>Epub</w:t>
      </w:r>
      <w:proofErr w:type="spellEnd"/>
    </w:p>
  </w:footnote>
  <w:footnote w:id="10">
    <w:p w14:paraId="0E1A4719" w14:textId="77777777" w:rsidR="00046A73" w:rsidRPr="00D75467" w:rsidRDefault="00046A73" w:rsidP="00DB4552">
      <w:pPr>
        <w:pStyle w:val="Fodnotetekst"/>
        <w:rPr>
          <w:lang w:val="en-US"/>
        </w:rPr>
      </w:pPr>
      <w:r>
        <w:rPr>
          <w:rStyle w:val="Fodnotehenvisning"/>
        </w:rPr>
        <w:footnoteRef/>
      </w:r>
      <w:r w:rsidRPr="00796612">
        <w:rPr>
          <w:lang w:val="en-US"/>
        </w:rPr>
        <w:t xml:space="preserve"> </w:t>
      </w:r>
      <w:proofErr w:type="spellStart"/>
      <w:r w:rsidRPr="00796612">
        <w:rPr>
          <w:lang w:val="en-US"/>
        </w:rPr>
        <w:t>Thijsen</w:t>
      </w:r>
      <w:proofErr w:type="spellEnd"/>
      <w:r w:rsidRPr="00796612">
        <w:rPr>
          <w:lang w:val="en-US"/>
        </w:rPr>
        <w:t xml:space="preserve"> A et al. Does using applied muscle tension at strategic time points during donation reduce phlebotomist- and donor-reported vasovagal reaction rates? </w:t>
      </w:r>
      <w:r w:rsidRPr="00D75467">
        <w:rPr>
          <w:lang w:val="en-US"/>
        </w:rPr>
        <w:t>A three-armed randomized controlled trial. Transfusion 2018; ;58(10): 2352-2359</w:t>
      </w:r>
    </w:p>
  </w:footnote>
  <w:footnote w:id="11">
    <w:p w14:paraId="0CB82FF6" w14:textId="1D61A741" w:rsidR="00046A73" w:rsidRPr="00D44ED5" w:rsidRDefault="00046A73">
      <w:pPr>
        <w:pStyle w:val="Fodnotetekst"/>
        <w:rPr>
          <w:lang w:val="en-US"/>
        </w:rPr>
      </w:pPr>
      <w:r>
        <w:rPr>
          <w:rStyle w:val="Fodnotehenvisning"/>
        </w:rPr>
        <w:footnoteRef/>
      </w:r>
      <w:r w:rsidRPr="00CD1D14">
        <w:rPr>
          <w:lang w:val="en-US"/>
        </w:rPr>
        <w:t xml:space="preserve"> Sørensen BS et al. </w:t>
      </w:r>
      <w:r w:rsidRPr="00D44ED5">
        <w:rPr>
          <w:lang w:val="en-US"/>
        </w:rPr>
        <w:t>Pain following blood donation: a</w:t>
      </w:r>
      <w:r>
        <w:rPr>
          <w:lang w:val="en-US"/>
        </w:rPr>
        <w:t xml:space="preserve"> questionnaire study of long-term morbidity (LTM) in blood donors. Vox Sang 2015; 109: 18-24</w:t>
      </w:r>
    </w:p>
  </w:footnote>
  <w:footnote w:id="12">
    <w:p w14:paraId="21F74BA2" w14:textId="1F5A10CA" w:rsidR="00046A73" w:rsidRPr="000015BF" w:rsidRDefault="00046A73">
      <w:pPr>
        <w:pStyle w:val="Fodnotetekst"/>
        <w:rPr>
          <w:lang w:val="en-US"/>
        </w:rPr>
      </w:pPr>
      <w:r>
        <w:rPr>
          <w:rStyle w:val="Fodnotehenvisning"/>
        </w:rPr>
        <w:footnoteRef/>
      </w:r>
      <w:r w:rsidRPr="000015BF">
        <w:rPr>
          <w:lang w:val="en-US"/>
        </w:rPr>
        <w:t xml:space="preserve"> </w:t>
      </w:r>
      <w:proofErr w:type="spellStart"/>
      <w:r w:rsidRPr="000015BF">
        <w:rPr>
          <w:lang w:val="en-US"/>
        </w:rPr>
        <w:t>Bruehl</w:t>
      </w:r>
      <w:proofErr w:type="spellEnd"/>
      <w:r w:rsidRPr="000015BF">
        <w:rPr>
          <w:lang w:val="en-US"/>
        </w:rPr>
        <w:t xml:space="preserve"> S. Complex regional pain syndrome. BMJ 2015;351:h273 </w:t>
      </w:r>
    </w:p>
  </w:footnote>
  <w:footnote w:id="13">
    <w:p w14:paraId="2FAE16A9" w14:textId="349CFEB8" w:rsidR="00046A73" w:rsidRPr="000015BF" w:rsidRDefault="00046A73">
      <w:pPr>
        <w:pStyle w:val="Fodnotetekst"/>
        <w:rPr>
          <w:lang w:val="en-US"/>
        </w:rPr>
      </w:pPr>
      <w:r>
        <w:rPr>
          <w:rStyle w:val="Fodnotehenvisning"/>
        </w:rPr>
        <w:footnoteRef/>
      </w:r>
      <w:r w:rsidRPr="000015BF">
        <w:rPr>
          <w:lang w:val="en-US"/>
        </w:rPr>
        <w:t xml:space="preserve"> Gilchrist PT et al. Improving the donation experience and reducing venipuncture pain by addressing fears among whole-blood and plasma donors. Transfusion 2021; 61(7): 2107-2115</w:t>
      </w:r>
    </w:p>
  </w:footnote>
  <w:footnote w:id="14">
    <w:p w14:paraId="46936170" w14:textId="32D02C70" w:rsidR="00046A73" w:rsidRPr="00CD1D14" w:rsidRDefault="00046A73">
      <w:pPr>
        <w:pStyle w:val="Fodnotetekst"/>
        <w:rPr>
          <w:lang w:val="en-US"/>
        </w:rPr>
      </w:pPr>
      <w:r>
        <w:rPr>
          <w:rStyle w:val="Fodnotehenvisning"/>
        </w:rPr>
        <w:footnoteRef/>
      </w:r>
      <w:r w:rsidRPr="0009503E">
        <w:rPr>
          <w:lang w:val="en-US"/>
        </w:rPr>
        <w:t xml:space="preserve"> Bravo M et al. Factors associated with fainting – before, during and after whole blood donation. </w:t>
      </w:r>
      <w:r w:rsidRPr="00CD1D14">
        <w:rPr>
          <w:lang w:val="en-US"/>
        </w:rPr>
        <w:t>Vox Sang 2011; 101:303-312</w:t>
      </w:r>
    </w:p>
    <w:p w14:paraId="774588B8" w14:textId="2AE63247" w:rsidR="00046A73" w:rsidRPr="0009503E" w:rsidRDefault="00046A73" w:rsidP="0009503E">
      <w:pPr>
        <w:pStyle w:val="Fodnotetekst"/>
        <w:rPr>
          <w:lang w:val="en-US"/>
        </w:rPr>
      </w:pPr>
      <w:r w:rsidRPr="00081A7F">
        <w:rPr>
          <w:lang w:val="en-US"/>
        </w:rPr>
        <w:t xml:space="preserve">Gybel-Brask M et al. </w:t>
      </w:r>
      <w:r w:rsidRPr="0009503E">
        <w:rPr>
          <w:lang w:val="en-US"/>
        </w:rPr>
        <w:t>The central blood volume as measured by thoracic electrical</w:t>
      </w:r>
      <w:r>
        <w:rPr>
          <w:lang w:val="en-US"/>
        </w:rPr>
        <w:t xml:space="preserve"> </w:t>
      </w:r>
      <w:r w:rsidRPr="0009503E">
        <w:rPr>
          <w:lang w:val="en-US"/>
        </w:rPr>
        <w:t xml:space="preserve">impedance and plasma </w:t>
      </w:r>
      <w:proofErr w:type="spellStart"/>
      <w:r w:rsidRPr="0009503E">
        <w:rPr>
          <w:lang w:val="en-US"/>
        </w:rPr>
        <w:t>proANP</w:t>
      </w:r>
      <w:proofErr w:type="spellEnd"/>
      <w:r w:rsidRPr="0009503E">
        <w:rPr>
          <w:lang w:val="en-US"/>
        </w:rPr>
        <w:t xml:space="preserve"> is not compromised</w:t>
      </w:r>
      <w:r>
        <w:rPr>
          <w:lang w:val="en-US"/>
        </w:rPr>
        <w:t xml:space="preserve"> </w:t>
      </w:r>
      <w:r w:rsidRPr="0009503E">
        <w:rPr>
          <w:lang w:val="en-US"/>
        </w:rPr>
        <w:t>by donation of 900 mL of blood in men</w:t>
      </w:r>
      <w:r>
        <w:rPr>
          <w:lang w:val="en-US"/>
        </w:rPr>
        <w:t xml:space="preserve">. </w:t>
      </w:r>
      <w:proofErr w:type="spellStart"/>
      <w:r w:rsidRPr="0009503E">
        <w:rPr>
          <w:lang w:val="en-US"/>
        </w:rPr>
        <w:t>Transfus</w:t>
      </w:r>
      <w:proofErr w:type="spellEnd"/>
      <w:r w:rsidRPr="0009503E">
        <w:rPr>
          <w:lang w:val="en-US"/>
        </w:rPr>
        <w:t xml:space="preserve"> Med</w:t>
      </w:r>
      <w:r>
        <w:rPr>
          <w:lang w:val="en-US"/>
        </w:rPr>
        <w:t xml:space="preserve"> </w:t>
      </w:r>
      <w:r w:rsidRPr="0009503E">
        <w:rPr>
          <w:lang w:val="en-US"/>
        </w:rPr>
        <w:t>2020</w:t>
      </w:r>
      <w:r>
        <w:rPr>
          <w:lang w:val="en-US"/>
        </w:rPr>
        <w:t xml:space="preserve">; </w:t>
      </w:r>
      <w:r w:rsidRPr="0009503E">
        <w:rPr>
          <w:lang w:val="en-US"/>
        </w:rPr>
        <w:t>30(6):</w:t>
      </w:r>
      <w:r>
        <w:rPr>
          <w:lang w:val="en-US"/>
        </w:rPr>
        <w:t xml:space="preserve"> </w:t>
      </w:r>
      <w:r w:rsidRPr="0009503E">
        <w:rPr>
          <w:lang w:val="en-US"/>
        </w:rPr>
        <w:t>450-455</w:t>
      </w:r>
    </w:p>
  </w:footnote>
  <w:footnote w:id="15">
    <w:p w14:paraId="2D392F4B" w14:textId="40190A1F" w:rsidR="00046A73" w:rsidRPr="00BB3FD6" w:rsidRDefault="00046A73">
      <w:pPr>
        <w:pStyle w:val="Fodnotetekst"/>
        <w:rPr>
          <w:lang w:val="en-US"/>
        </w:rPr>
      </w:pPr>
      <w:r>
        <w:rPr>
          <w:rStyle w:val="Fodnotehenvisning"/>
        </w:rPr>
        <w:footnoteRef/>
      </w:r>
      <w:r w:rsidRPr="00CD1D14">
        <w:rPr>
          <w:lang w:val="en-US"/>
        </w:rPr>
        <w:t xml:space="preserve"> </w:t>
      </w:r>
      <w:bookmarkStart w:id="20" w:name="_Hlk94108840"/>
      <w:r w:rsidRPr="00CD1D14">
        <w:rPr>
          <w:lang w:val="en-US"/>
        </w:rPr>
        <w:t xml:space="preserve">Bravo M et al. </w:t>
      </w:r>
      <w:r w:rsidRPr="00BB3FD6">
        <w:rPr>
          <w:lang w:val="en-US"/>
        </w:rPr>
        <w:t>Factors a</w:t>
      </w:r>
      <w:r>
        <w:rPr>
          <w:lang w:val="en-US"/>
        </w:rPr>
        <w:t>ssociated with fainting – before, during and after whole blood donation. Vox Sang 2011; 101:303-312</w:t>
      </w:r>
      <w:bookmarkEnd w:id="20"/>
    </w:p>
  </w:footnote>
  <w:footnote w:id="16">
    <w:p w14:paraId="3E88BD9C" w14:textId="2587E364" w:rsidR="00046A73" w:rsidRPr="00D652C7" w:rsidRDefault="00046A73">
      <w:pPr>
        <w:pStyle w:val="Fodnotetekst"/>
        <w:rPr>
          <w:lang w:val="en-US"/>
        </w:rPr>
      </w:pPr>
      <w:r>
        <w:rPr>
          <w:rStyle w:val="Fodnotehenvisning"/>
        </w:rPr>
        <w:footnoteRef/>
      </w:r>
      <w:r w:rsidRPr="00D652C7">
        <w:rPr>
          <w:lang w:val="en-US"/>
        </w:rPr>
        <w:t xml:space="preserve"> DSKI. Blood donation adverse reactions and events, Annual report 2020</w:t>
      </w:r>
    </w:p>
  </w:footnote>
  <w:footnote w:id="17">
    <w:p w14:paraId="27EEBC7C" w14:textId="16FA8D1F" w:rsidR="00046A73" w:rsidRPr="00CD1D14" w:rsidRDefault="00046A73">
      <w:pPr>
        <w:pStyle w:val="Fodnotetekst"/>
        <w:rPr>
          <w:lang w:val="en-US"/>
        </w:rPr>
      </w:pPr>
      <w:r>
        <w:rPr>
          <w:rStyle w:val="Fodnotehenvisning"/>
        </w:rPr>
        <w:footnoteRef/>
      </w:r>
      <w:r w:rsidRPr="003F220C">
        <w:rPr>
          <w:lang w:val="en-US"/>
        </w:rPr>
        <w:t xml:space="preserve"> </w:t>
      </w:r>
      <w:proofErr w:type="spellStart"/>
      <w:r w:rsidRPr="003F220C">
        <w:rPr>
          <w:lang w:val="en-US"/>
        </w:rPr>
        <w:t>Thijsen</w:t>
      </w:r>
      <w:proofErr w:type="spellEnd"/>
      <w:r w:rsidRPr="003F220C">
        <w:rPr>
          <w:lang w:val="en-US"/>
        </w:rPr>
        <w:t xml:space="preserve"> A et al. Does using applied muscle tension at strategic time points during donation reduce phlebotomist- and donor-reported vasovagal reaction rates? </w:t>
      </w:r>
      <w:r w:rsidRPr="00CD1D14">
        <w:rPr>
          <w:lang w:val="en-US"/>
        </w:rPr>
        <w:t>A three-armed randomized controlled trial. Transfusion 2018; ;58(10): 2352-2359</w:t>
      </w:r>
    </w:p>
  </w:footnote>
  <w:footnote w:id="18">
    <w:p w14:paraId="7BE694DE" w14:textId="12B0D798" w:rsidR="00046A73" w:rsidRPr="00BE075B" w:rsidRDefault="00046A73" w:rsidP="00BE075B">
      <w:pPr>
        <w:pStyle w:val="Fodnotetekst"/>
        <w:rPr>
          <w:lang w:val="en-US"/>
        </w:rPr>
      </w:pPr>
      <w:r>
        <w:rPr>
          <w:rStyle w:val="Fodnotehenvisning"/>
        </w:rPr>
        <w:footnoteRef/>
      </w:r>
      <w:r w:rsidRPr="00BE075B">
        <w:rPr>
          <w:lang w:val="en-US"/>
        </w:rPr>
        <w:t xml:space="preserve"> Bolan CD et al. Comprehensive analysis of citrate effects during plateletpheresis in normal donors</w:t>
      </w:r>
      <w:r>
        <w:rPr>
          <w:lang w:val="en-US"/>
        </w:rPr>
        <w:t>. Transfusion 2001; 41(</w:t>
      </w:r>
      <w:r w:rsidRPr="00BE075B">
        <w:rPr>
          <w:lang w:val="en-US"/>
        </w:rPr>
        <w:t>9</w:t>
      </w:r>
      <w:r>
        <w:rPr>
          <w:lang w:val="en-US"/>
        </w:rPr>
        <w:t xml:space="preserve">): </w:t>
      </w:r>
      <w:r w:rsidRPr="00BE075B">
        <w:rPr>
          <w:lang w:val="en-US"/>
        </w:rPr>
        <w:t>1165-1171</w:t>
      </w:r>
    </w:p>
  </w:footnote>
  <w:footnote w:id="19">
    <w:p w14:paraId="377C6D1F" w14:textId="04A5E512" w:rsidR="00046A73" w:rsidRPr="00627018" w:rsidRDefault="00046A73" w:rsidP="00627018">
      <w:pPr>
        <w:pStyle w:val="Fodnotetekst"/>
        <w:rPr>
          <w:lang w:val="en-US"/>
        </w:rPr>
      </w:pPr>
      <w:r>
        <w:rPr>
          <w:rStyle w:val="Fodnotehenvisning"/>
        </w:rPr>
        <w:footnoteRef/>
      </w:r>
      <w:r w:rsidRPr="00627018">
        <w:rPr>
          <w:lang w:val="en-US"/>
        </w:rPr>
        <w:t xml:space="preserve"> Evers J et al. Distribution of citrate and citrate infusion rate during donor plasmaphereses</w:t>
      </w:r>
      <w:r>
        <w:rPr>
          <w:lang w:val="en-US"/>
        </w:rPr>
        <w:t xml:space="preserve">. </w:t>
      </w:r>
      <w:r w:rsidRPr="00627018">
        <w:rPr>
          <w:lang w:val="en-US"/>
        </w:rPr>
        <w:t xml:space="preserve">J Clin </w:t>
      </w:r>
      <w:proofErr w:type="spellStart"/>
      <w:r w:rsidRPr="00627018">
        <w:rPr>
          <w:lang w:val="en-US"/>
        </w:rPr>
        <w:t>Apher</w:t>
      </w:r>
      <w:proofErr w:type="spellEnd"/>
      <w:r>
        <w:rPr>
          <w:lang w:val="en-US"/>
        </w:rPr>
        <w:t xml:space="preserve"> </w:t>
      </w:r>
      <w:r w:rsidRPr="00627018">
        <w:rPr>
          <w:lang w:val="en-US"/>
        </w:rPr>
        <w:t>2016;</w:t>
      </w:r>
      <w:r>
        <w:rPr>
          <w:lang w:val="en-US"/>
        </w:rPr>
        <w:t xml:space="preserve"> </w:t>
      </w:r>
      <w:r w:rsidRPr="00627018">
        <w:rPr>
          <w:lang w:val="en-US"/>
        </w:rPr>
        <w:t>31(1):</w:t>
      </w:r>
      <w:r>
        <w:rPr>
          <w:lang w:val="en-US"/>
        </w:rPr>
        <w:t xml:space="preserve"> </w:t>
      </w:r>
      <w:r w:rsidRPr="00627018">
        <w:rPr>
          <w:lang w:val="en-US"/>
        </w:rPr>
        <w:t>59-62</w:t>
      </w:r>
    </w:p>
  </w:footnote>
  <w:footnote w:id="20">
    <w:p w14:paraId="66422463" w14:textId="23466866" w:rsidR="00046A73" w:rsidRPr="0026560C" w:rsidRDefault="00046A73">
      <w:pPr>
        <w:pStyle w:val="Fodnotetekst"/>
        <w:rPr>
          <w:lang w:val="en-US"/>
        </w:rPr>
      </w:pPr>
      <w:r>
        <w:rPr>
          <w:rStyle w:val="Fodnotehenvisning"/>
        </w:rPr>
        <w:footnoteRef/>
      </w:r>
      <w:r w:rsidRPr="0026560C">
        <w:rPr>
          <w:lang w:val="en-US"/>
        </w:rPr>
        <w:t xml:space="preserve"> </w:t>
      </w:r>
      <w:proofErr w:type="spellStart"/>
      <w:r w:rsidRPr="0026560C">
        <w:rPr>
          <w:lang w:val="en-US"/>
        </w:rPr>
        <w:t>Bivirkninger</w:t>
      </w:r>
      <w:proofErr w:type="spellEnd"/>
      <w:r w:rsidRPr="0026560C">
        <w:rPr>
          <w:lang w:val="en-US"/>
        </w:rPr>
        <w:t xml:space="preserve"> </w:t>
      </w:r>
      <w:proofErr w:type="spellStart"/>
      <w:r w:rsidRPr="0026560C">
        <w:rPr>
          <w:lang w:val="en-US"/>
        </w:rPr>
        <w:t>ved</w:t>
      </w:r>
      <w:proofErr w:type="spellEnd"/>
      <w:r w:rsidRPr="0026560C">
        <w:rPr>
          <w:lang w:val="en-US"/>
        </w:rPr>
        <w:t xml:space="preserve"> </w:t>
      </w:r>
      <w:proofErr w:type="spellStart"/>
      <w:r w:rsidRPr="0026560C">
        <w:rPr>
          <w:lang w:val="en-US"/>
        </w:rPr>
        <w:t>tapning</w:t>
      </w:r>
      <w:proofErr w:type="spellEnd"/>
      <w:r w:rsidRPr="0026560C">
        <w:rPr>
          <w:lang w:val="en-US"/>
        </w:rPr>
        <w:t xml:space="preserve"> </w:t>
      </w:r>
      <w:proofErr w:type="spellStart"/>
      <w:r w:rsidRPr="0026560C">
        <w:rPr>
          <w:lang w:val="en-US"/>
        </w:rPr>
        <w:t>definere</w:t>
      </w:r>
      <w:r>
        <w:rPr>
          <w:lang w:val="en-US"/>
        </w:rPr>
        <w:t>t</w:t>
      </w:r>
      <w:proofErr w:type="spellEnd"/>
      <w:r w:rsidRPr="0026560C">
        <w:rPr>
          <w:lang w:val="en-US"/>
        </w:rPr>
        <w:t xml:space="preserve"> i </w:t>
      </w:r>
      <w:proofErr w:type="spellStart"/>
      <w:r w:rsidRPr="0026560C">
        <w:rPr>
          <w:lang w:val="en-US"/>
        </w:rPr>
        <w:t>henhold</w:t>
      </w:r>
      <w:proofErr w:type="spellEnd"/>
      <w:r w:rsidRPr="0026560C">
        <w:rPr>
          <w:lang w:val="en-US"/>
        </w:rPr>
        <w:t xml:space="preserve"> til Standard for Surveillance of Complications Related to Blood Donation 2014, ISBT working party on </w:t>
      </w:r>
      <w:proofErr w:type="spellStart"/>
      <w:r w:rsidRPr="0026560C">
        <w:rPr>
          <w:lang w:val="en-US"/>
        </w:rPr>
        <w:t>Haemovigilance</w:t>
      </w:r>
      <w:proofErr w:type="spellEnd"/>
      <w:r w:rsidRPr="0026560C">
        <w:rPr>
          <w:lang w:val="en-US"/>
        </w:rPr>
        <w:t>.</w:t>
      </w:r>
    </w:p>
  </w:footnote>
  <w:footnote w:id="21">
    <w:p w14:paraId="65E7EBD8" w14:textId="00EDF876" w:rsidR="00046A73" w:rsidRDefault="00046A73">
      <w:pPr>
        <w:pStyle w:val="Fodnotetekst"/>
      </w:pPr>
      <w:r>
        <w:rPr>
          <w:rStyle w:val="Fodnotehenvisning"/>
        </w:rPr>
        <w:footnoteRef/>
      </w:r>
      <w:r>
        <w:t xml:space="preserve"> </w:t>
      </w:r>
      <w:r w:rsidRPr="0026560C">
        <w:t>Sværhedsgrad ved bivirkninger definere</w:t>
      </w:r>
      <w:r>
        <w:t>t</w:t>
      </w:r>
      <w:r w:rsidRPr="0026560C">
        <w:t xml:space="preserve"> i henhold til Donor </w:t>
      </w:r>
      <w:proofErr w:type="spellStart"/>
      <w:r w:rsidRPr="0026560C">
        <w:t>Adverse</w:t>
      </w:r>
      <w:proofErr w:type="spellEnd"/>
      <w:r w:rsidRPr="0026560C">
        <w:t xml:space="preserve"> </w:t>
      </w:r>
      <w:proofErr w:type="spellStart"/>
      <w:r w:rsidRPr="0026560C">
        <w:t>Reaction</w:t>
      </w:r>
      <w:proofErr w:type="spellEnd"/>
      <w:r w:rsidRPr="0026560C">
        <w:t xml:space="preserve"> </w:t>
      </w:r>
      <w:proofErr w:type="spellStart"/>
      <w:r w:rsidRPr="0026560C">
        <w:t>Severity</w:t>
      </w:r>
      <w:proofErr w:type="spellEnd"/>
      <w:r w:rsidRPr="0026560C">
        <w:t xml:space="preserve"> </w:t>
      </w:r>
      <w:proofErr w:type="spellStart"/>
      <w:r w:rsidRPr="0026560C">
        <w:t>Grading</w:t>
      </w:r>
      <w:proofErr w:type="spellEnd"/>
      <w:r w:rsidRPr="0026560C">
        <w:t xml:space="preserve"> Tool, AABB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A267F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135500D"/>
    <w:multiLevelType w:val="hybridMultilevel"/>
    <w:tmpl w:val="829C34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D96D56"/>
    <w:multiLevelType w:val="hybridMultilevel"/>
    <w:tmpl w:val="71CA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12FF3"/>
    <w:multiLevelType w:val="hybridMultilevel"/>
    <w:tmpl w:val="6C6AB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382FE9"/>
    <w:multiLevelType w:val="hybridMultilevel"/>
    <w:tmpl w:val="5C629E56"/>
    <w:lvl w:ilvl="0" w:tplc="0324D63C">
      <w:numFmt w:val="bullet"/>
      <w:lvlText w:val="•"/>
      <w:lvlJc w:val="left"/>
      <w:pPr>
        <w:ind w:left="1305" w:hanging="585"/>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4F72D4"/>
    <w:multiLevelType w:val="hybridMultilevel"/>
    <w:tmpl w:val="06D46F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22278553">
    <w:abstractNumId w:val="0"/>
  </w:num>
  <w:num w:numId="2" w16cid:durableId="414866391">
    <w:abstractNumId w:val="2"/>
  </w:num>
  <w:num w:numId="3" w16cid:durableId="1473523182">
    <w:abstractNumId w:val="4"/>
  </w:num>
  <w:num w:numId="4" w16cid:durableId="640811970">
    <w:abstractNumId w:val="1"/>
  </w:num>
  <w:num w:numId="5" w16cid:durableId="544756101">
    <w:abstractNumId w:val="3"/>
  </w:num>
  <w:num w:numId="6" w16cid:durableId="1479498059">
    <w:abstractNumId w:val="5"/>
  </w:num>
  <w:num w:numId="7" w16cid:durableId="2118404379">
    <w:abstractNumId w:val="3"/>
    <w:lvlOverride w:ilvl="0"/>
    <w:lvlOverride w:ilvl="1"/>
    <w:lvlOverride w:ilvl="2"/>
    <w:lvlOverride w:ilvl="3"/>
    <w:lvlOverride w:ilvl="4"/>
    <w:lvlOverride w:ilvl="5"/>
    <w:lvlOverride w:ilvl="6"/>
    <w:lvlOverride w:ilvl="7"/>
    <w:lvlOverride w:ilvl="8"/>
  </w:num>
  <w:num w:numId="8" w16cid:durableId="18755823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9F"/>
    <w:rsid w:val="00000CE5"/>
    <w:rsid w:val="000015BF"/>
    <w:rsid w:val="00003525"/>
    <w:rsid w:val="00006CEB"/>
    <w:rsid w:val="00023FDA"/>
    <w:rsid w:val="00025339"/>
    <w:rsid w:val="00027C4E"/>
    <w:rsid w:val="00032673"/>
    <w:rsid w:val="000350C1"/>
    <w:rsid w:val="00046A73"/>
    <w:rsid w:val="00081A7F"/>
    <w:rsid w:val="00083A1E"/>
    <w:rsid w:val="00083FF0"/>
    <w:rsid w:val="0009503E"/>
    <w:rsid w:val="000D4689"/>
    <w:rsid w:val="000E3A19"/>
    <w:rsid w:val="000E5ECA"/>
    <w:rsid w:val="000F33A3"/>
    <w:rsid w:val="001034BA"/>
    <w:rsid w:val="0011182D"/>
    <w:rsid w:val="0011430D"/>
    <w:rsid w:val="00124DCD"/>
    <w:rsid w:val="001375E6"/>
    <w:rsid w:val="00140492"/>
    <w:rsid w:val="001412AD"/>
    <w:rsid w:val="00152132"/>
    <w:rsid w:val="00171177"/>
    <w:rsid w:val="00176BD9"/>
    <w:rsid w:val="00181775"/>
    <w:rsid w:val="0018278F"/>
    <w:rsid w:val="001840C0"/>
    <w:rsid w:val="00190016"/>
    <w:rsid w:val="0019762E"/>
    <w:rsid w:val="001A09A3"/>
    <w:rsid w:val="001A32B3"/>
    <w:rsid w:val="001A5C14"/>
    <w:rsid w:val="001F7889"/>
    <w:rsid w:val="00201095"/>
    <w:rsid w:val="00223236"/>
    <w:rsid w:val="00230807"/>
    <w:rsid w:val="00230A23"/>
    <w:rsid w:val="0026218F"/>
    <w:rsid w:val="0026560C"/>
    <w:rsid w:val="00265E27"/>
    <w:rsid w:val="00267B0B"/>
    <w:rsid w:val="0027734D"/>
    <w:rsid w:val="002958CD"/>
    <w:rsid w:val="002A0F2F"/>
    <w:rsid w:val="002A63BB"/>
    <w:rsid w:val="002B555F"/>
    <w:rsid w:val="002C1689"/>
    <w:rsid w:val="002C5E83"/>
    <w:rsid w:val="002D3D9A"/>
    <w:rsid w:val="002E0A09"/>
    <w:rsid w:val="002E13E2"/>
    <w:rsid w:val="002F2595"/>
    <w:rsid w:val="002F4748"/>
    <w:rsid w:val="002F78D2"/>
    <w:rsid w:val="003050BF"/>
    <w:rsid w:val="003068F9"/>
    <w:rsid w:val="00307485"/>
    <w:rsid w:val="00311A44"/>
    <w:rsid w:val="00324AB5"/>
    <w:rsid w:val="00331107"/>
    <w:rsid w:val="00341863"/>
    <w:rsid w:val="00345024"/>
    <w:rsid w:val="00350007"/>
    <w:rsid w:val="0036344A"/>
    <w:rsid w:val="00370104"/>
    <w:rsid w:val="0038229E"/>
    <w:rsid w:val="003B14FD"/>
    <w:rsid w:val="003C68D9"/>
    <w:rsid w:val="003D4FBE"/>
    <w:rsid w:val="003F220C"/>
    <w:rsid w:val="003F2F24"/>
    <w:rsid w:val="003F4FEF"/>
    <w:rsid w:val="00404EB1"/>
    <w:rsid w:val="004072D9"/>
    <w:rsid w:val="0040743C"/>
    <w:rsid w:val="0042193D"/>
    <w:rsid w:val="00424D0B"/>
    <w:rsid w:val="00442F03"/>
    <w:rsid w:val="0045533C"/>
    <w:rsid w:val="00461AB2"/>
    <w:rsid w:val="0047455A"/>
    <w:rsid w:val="0048391D"/>
    <w:rsid w:val="004A32FC"/>
    <w:rsid w:val="004B65C3"/>
    <w:rsid w:val="004D0F90"/>
    <w:rsid w:val="004D1195"/>
    <w:rsid w:val="004D1E2A"/>
    <w:rsid w:val="004E3265"/>
    <w:rsid w:val="004E7D51"/>
    <w:rsid w:val="004F1128"/>
    <w:rsid w:val="004F7199"/>
    <w:rsid w:val="005369AD"/>
    <w:rsid w:val="005431CF"/>
    <w:rsid w:val="005444B9"/>
    <w:rsid w:val="00546177"/>
    <w:rsid w:val="00556985"/>
    <w:rsid w:val="00571CE6"/>
    <w:rsid w:val="00585013"/>
    <w:rsid w:val="0058765F"/>
    <w:rsid w:val="0059348E"/>
    <w:rsid w:val="00596EE0"/>
    <w:rsid w:val="005A0D2F"/>
    <w:rsid w:val="005A4DA2"/>
    <w:rsid w:val="005B498C"/>
    <w:rsid w:val="005C1F72"/>
    <w:rsid w:val="005C6DCE"/>
    <w:rsid w:val="005D76C6"/>
    <w:rsid w:val="005E1A52"/>
    <w:rsid w:val="005E40DD"/>
    <w:rsid w:val="005E6FC2"/>
    <w:rsid w:val="005F084E"/>
    <w:rsid w:val="00602431"/>
    <w:rsid w:val="00611D99"/>
    <w:rsid w:val="00627018"/>
    <w:rsid w:val="00631190"/>
    <w:rsid w:val="00632CD2"/>
    <w:rsid w:val="00657E71"/>
    <w:rsid w:val="00661F97"/>
    <w:rsid w:val="006719E2"/>
    <w:rsid w:val="006A1F04"/>
    <w:rsid w:val="006A5659"/>
    <w:rsid w:val="006A5932"/>
    <w:rsid w:val="006C2255"/>
    <w:rsid w:val="006C38A3"/>
    <w:rsid w:val="006D678B"/>
    <w:rsid w:val="006E28EC"/>
    <w:rsid w:val="006E5952"/>
    <w:rsid w:val="0070286C"/>
    <w:rsid w:val="00710BC2"/>
    <w:rsid w:val="007170C5"/>
    <w:rsid w:val="007204F5"/>
    <w:rsid w:val="00726B0C"/>
    <w:rsid w:val="00744C42"/>
    <w:rsid w:val="0075110F"/>
    <w:rsid w:val="0075231C"/>
    <w:rsid w:val="00775857"/>
    <w:rsid w:val="00796612"/>
    <w:rsid w:val="00797E98"/>
    <w:rsid w:val="007A3593"/>
    <w:rsid w:val="007B5A0A"/>
    <w:rsid w:val="007B6862"/>
    <w:rsid w:val="007C7C93"/>
    <w:rsid w:val="007D0CC6"/>
    <w:rsid w:val="007F2C23"/>
    <w:rsid w:val="007F3AA6"/>
    <w:rsid w:val="007F3D4F"/>
    <w:rsid w:val="007F5ADB"/>
    <w:rsid w:val="0080020F"/>
    <w:rsid w:val="00811CA9"/>
    <w:rsid w:val="00815453"/>
    <w:rsid w:val="00860A41"/>
    <w:rsid w:val="0088621F"/>
    <w:rsid w:val="008961B6"/>
    <w:rsid w:val="008A0371"/>
    <w:rsid w:val="008A1BBE"/>
    <w:rsid w:val="008C0839"/>
    <w:rsid w:val="008C213A"/>
    <w:rsid w:val="008C2CC5"/>
    <w:rsid w:val="008D0A44"/>
    <w:rsid w:val="008E0D36"/>
    <w:rsid w:val="008E5267"/>
    <w:rsid w:val="008E7D99"/>
    <w:rsid w:val="009064BC"/>
    <w:rsid w:val="00911E70"/>
    <w:rsid w:val="009637B0"/>
    <w:rsid w:val="00963909"/>
    <w:rsid w:val="00984CA3"/>
    <w:rsid w:val="00985B5C"/>
    <w:rsid w:val="00991B0C"/>
    <w:rsid w:val="009A1294"/>
    <w:rsid w:val="009A7EF4"/>
    <w:rsid w:val="009B0978"/>
    <w:rsid w:val="009B39FE"/>
    <w:rsid w:val="009D2154"/>
    <w:rsid w:val="009D7BB7"/>
    <w:rsid w:val="009E19F8"/>
    <w:rsid w:val="00A06FC5"/>
    <w:rsid w:val="00A10C9F"/>
    <w:rsid w:val="00A31ADA"/>
    <w:rsid w:val="00A350F7"/>
    <w:rsid w:val="00A41A6A"/>
    <w:rsid w:val="00A84659"/>
    <w:rsid w:val="00A86980"/>
    <w:rsid w:val="00A93BEF"/>
    <w:rsid w:val="00AA45BC"/>
    <w:rsid w:val="00AA63AF"/>
    <w:rsid w:val="00AB34D3"/>
    <w:rsid w:val="00AC61C4"/>
    <w:rsid w:val="00AD2526"/>
    <w:rsid w:val="00AE21B6"/>
    <w:rsid w:val="00AE42D3"/>
    <w:rsid w:val="00AF5819"/>
    <w:rsid w:val="00B22590"/>
    <w:rsid w:val="00B25F14"/>
    <w:rsid w:val="00B31032"/>
    <w:rsid w:val="00B35002"/>
    <w:rsid w:val="00B40DAC"/>
    <w:rsid w:val="00B52BA4"/>
    <w:rsid w:val="00B6046A"/>
    <w:rsid w:val="00B6172E"/>
    <w:rsid w:val="00B63655"/>
    <w:rsid w:val="00B9029B"/>
    <w:rsid w:val="00B93EDF"/>
    <w:rsid w:val="00B97DC9"/>
    <w:rsid w:val="00BB212C"/>
    <w:rsid w:val="00BB3FD6"/>
    <w:rsid w:val="00BD2F3D"/>
    <w:rsid w:val="00BE075B"/>
    <w:rsid w:val="00C01A9F"/>
    <w:rsid w:val="00C22909"/>
    <w:rsid w:val="00C404D5"/>
    <w:rsid w:val="00C41302"/>
    <w:rsid w:val="00C426EC"/>
    <w:rsid w:val="00C454EA"/>
    <w:rsid w:val="00C716BE"/>
    <w:rsid w:val="00C746DE"/>
    <w:rsid w:val="00C825CD"/>
    <w:rsid w:val="00C848BA"/>
    <w:rsid w:val="00C871CA"/>
    <w:rsid w:val="00C94DA9"/>
    <w:rsid w:val="00CA5139"/>
    <w:rsid w:val="00CD0209"/>
    <w:rsid w:val="00CD1D14"/>
    <w:rsid w:val="00CD2881"/>
    <w:rsid w:val="00CD402F"/>
    <w:rsid w:val="00CD4420"/>
    <w:rsid w:val="00CD49AE"/>
    <w:rsid w:val="00CE0842"/>
    <w:rsid w:val="00CE1157"/>
    <w:rsid w:val="00CE4B87"/>
    <w:rsid w:val="00CF3248"/>
    <w:rsid w:val="00CF4117"/>
    <w:rsid w:val="00D00A59"/>
    <w:rsid w:val="00D019A8"/>
    <w:rsid w:val="00D025EE"/>
    <w:rsid w:val="00D03CF4"/>
    <w:rsid w:val="00D03EF4"/>
    <w:rsid w:val="00D04A65"/>
    <w:rsid w:val="00D12489"/>
    <w:rsid w:val="00D13D31"/>
    <w:rsid w:val="00D204A4"/>
    <w:rsid w:val="00D2604F"/>
    <w:rsid w:val="00D26526"/>
    <w:rsid w:val="00D363B8"/>
    <w:rsid w:val="00D42B93"/>
    <w:rsid w:val="00D4449A"/>
    <w:rsid w:val="00D44ED5"/>
    <w:rsid w:val="00D56599"/>
    <w:rsid w:val="00D652C7"/>
    <w:rsid w:val="00D75467"/>
    <w:rsid w:val="00DA7F3E"/>
    <w:rsid w:val="00DB4552"/>
    <w:rsid w:val="00DB5AB6"/>
    <w:rsid w:val="00DB6CF5"/>
    <w:rsid w:val="00DC13E7"/>
    <w:rsid w:val="00DD49CD"/>
    <w:rsid w:val="00DE1CCD"/>
    <w:rsid w:val="00DF6D65"/>
    <w:rsid w:val="00E0754E"/>
    <w:rsid w:val="00E140F4"/>
    <w:rsid w:val="00E22792"/>
    <w:rsid w:val="00E457AC"/>
    <w:rsid w:val="00E474E2"/>
    <w:rsid w:val="00E548E7"/>
    <w:rsid w:val="00E55E24"/>
    <w:rsid w:val="00E60F44"/>
    <w:rsid w:val="00E763F4"/>
    <w:rsid w:val="00E8233B"/>
    <w:rsid w:val="00E82E45"/>
    <w:rsid w:val="00E854B2"/>
    <w:rsid w:val="00E866FB"/>
    <w:rsid w:val="00EA21C0"/>
    <w:rsid w:val="00EA4D9F"/>
    <w:rsid w:val="00EA67ED"/>
    <w:rsid w:val="00EC3460"/>
    <w:rsid w:val="00EC3ED6"/>
    <w:rsid w:val="00EC7017"/>
    <w:rsid w:val="00ED1547"/>
    <w:rsid w:val="00ED4749"/>
    <w:rsid w:val="00EE3CAC"/>
    <w:rsid w:val="00EE4D39"/>
    <w:rsid w:val="00EE7679"/>
    <w:rsid w:val="00EF0AAC"/>
    <w:rsid w:val="00EF4BA1"/>
    <w:rsid w:val="00F0634B"/>
    <w:rsid w:val="00F07FCD"/>
    <w:rsid w:val="00F11343"/>
    <w:rsid w:val="00F1250E"/>
    <w:rsid w:val="00F22004"/>
    <w:rsid w:val="00F35B52"/>
    <w:rsid w:val="00F43C39"/>
    <w:rsid w:val="00F467C4"/>
    <w:rsid w:val="00F6244E"/>
    <w:rsid w:val="00F656AF"/>
    <w:rsid w:val="00F67762"/>
    <w:rsid w:val="00F7321B"/>
    <w:rsid w:val="00F912F8"/>
    <w:rsid w:val="00F93C25"/>
    <w:rsid w:val="00F94A3B"/>
    <w:rsid w:val="00FA3271"/>
    <w:rsid w:val="00FB3BDB"/>
    <w:rsid w:val="00FD68BC"/>
    <w:rsid w:val="00FD6F29"/>
    <w:rsid w:val="00FE1F65"/>
    <w:rsid w:val="00FE2DE0"/>
    <w:rsid w:val="00FF57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ADE2"/>
  <w15:chartTrackingRefBased/>
  <w15:docId w15:val="{ADF1520C-142B-4608-8F13-C2248BA6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4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A4D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A4D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4D9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A4D9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EA4D9F"/>
    <w:rPr>
      <w:rFonts w:asciiTheme="majorHAnsi" w:eastAsiaTheme="majorEastAsia" w:hAnsiTheme="majorHAnsi" w:cstheme="majorBidi"/>
      <w:color w:val="1F3763" w:themeColor="accent1" w:themeShade="7F"/>
      <w:sz w:val="24"/>
      <w:szCs w:val="24"/>
    </w:rPr>
  </w:style>
  <w:style w:type="paragraph" w:styleId="Fodnotetekst">
    <w:name w:val="footnote text"/>
    <w:basedOn w:val="Normal"/>
    <w:link w:val="FodnotetekstTegn"/>
    <w:uiPriority w:val="99"/>
    <w:semiHidden/>
    <w:unhideWhenUsed/>
    <w:rsid w:val="00B6365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63655"/>
    <w:rPr>
      <w:sz w:val="20"/>
      <w:szCs w:val="20"/>
    </w:rPr>
  </w:style>
  <w:style w:type="character" w:styleId="Fodnotehenvisning">
    <w:name w:val="footnote reference"/>
    <w:basedOn w:val="Standardskrifttypeiafsnit"/>
    <w:uiPriority w:val="99"/>
    <w:semiHidden/>
    <w:unhideWhenUsed/>
    <w:rsid w:val="00B63655"/>
    <w:rPr>
      <w:vertAlign w:val="superscript"/>
    </w:rPr>
  </w:style>
  <w:style w:type="character" w:styleId="Kommentarhenvisning">
    <w:name w:val="annotation reference"/>
    <w:basedOn w:val="Standardskrifttypeiafsnit"/>
    <w:uiPriority w:val="99"/>
    <w:semiHidden/>
    <w:unhideWhenUsed/>
    <w:rsid w:val="00FA3271"/>
    <w:rPr>
      <w:sz w:val="16"/>
      <w:szCs w:val="16"/>
    </w:rPr>
  </w:style>
  <w:style w:type="paragraph" w:styleId="Kommentartekst">
    <w:name w:val="annotation text"/>
    <w:basedOn w:val="Normal"/>
    <w:link w:val="KommentartekstTegn"/>
    <w:uiPriority w:val="99"/>
    <w:unhideWhenUsed/>
    <w:rsid w:val="00FA3271"/>
    <w:pPr>
      <w:spacing w:line="240" w:lineRule="auto"/>
    </w:pPr>
    <w:rPr>
      <w:sz w:val="20"/>
      <w:szCs w:val="20"/>
    </w:rPr>
  </w:style>
  <w:style w:type="character" w:customStyle="1" w:styleId="KommentartekstTegn">
    <w:name w:val="Kommentartekst Tegn"/>
    <w:basedOn w:val="Standardskrifttypeiafsnit"/>
    <w:link w:val="Kommentartekst"/>
    <w:uiPriority w:val="99"/>
    <w:rsid w:val="00FA3271"/>
    <w:rPr>
      <w:sz w:val="20"/>
      <w:szCs w:val="20"/>
    </w:rPr>
  </w:style>
  <w:style w:type="paragraph" w:styleId="Kommentaremne">
    <w:name w:val="annotation subject"/>
    <w:basedOn w:val="Kommentartekst"/>
    <w:next w:val="Kommentartekst"/>
    <w:link w:val="KommentaremneTegn"/>
    <w:uiPriority w:val="99"/>
    <w:semiHidden/>
    <w:unhideWhenUsed/>
    <w:rsid w:val="00FA3271"/>
    <w:rPr>
      <w:b/>
      <w:bCs/>
    </w:rPr>
  </w:style>
  <w:style w:type="character" w:customStyle="1" w:styleId="KommentaremneTegn">
    <w:name w:val="Kommentaremne Tegn"/>
    <w:basedOn w:val="KommentartekstTegn"/>
    <w:link w:val="Kommentaremne"/>
    <w:uiPriority w:val="99"/>
    <w:semiHidden/>
    <w:rsid w:val="00FA3271"/>
    <w:rPr>
      <w:b/>
      <w:bCs/>
      <w:sz w:val="20"/>
      <w:szCs w:val="20"/>
    </w:rPr>
  </w:style>
  <w:style w:type="paragraph" w:styleId="Overskrift">
    <w:name w:val="TOC Heading"/>
    <w:basedOn w:val="Overskrift1"/>
    <w:next w:val="Normal"/>
    <w:uiPriority w:val="39"/>
    <w:unhideWhenUsed/>
    <w:qFormat/>
    <w:rsid w:val="00BB212C"/>
    <w:pPr>
      <w:outlineLvl w:val="9"/>
    </w:pPr>
    <w:rPr>
      <w:lang w:eastAsia="da-DK"/>
    </w:rPr>
  </w:style>
  <w:style w:type="paragraph" w:styleId="Indholdsfortegnelse2">
    <w:name w:val="toc 2"/>
    <w:basedOn w:val="Normal"/>
    <w:next w:val="Normal"/>
    <w:autoRedefine/>
    <w:uiPriority w:val="39"/>
    <w:unhideWhenUsed/>
    <w:rsid w:val="00710BC2"/>
    <w:pPr>
      <w:tabs>
        <w:tab w:val="right" w:leader="dot" w:pos="9628"/>
      </w:tabs>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1A5C14"/>
    <w:rPr>
      <w:rFonts w:eastAsiaTheme="minorEastAsia" w:cs="Times New Roman"/>
      <w:lang w:eastAsia="da-DK"/>
    </w:rPr>
  </w:style>
  <w:style w:type="paragraph" w:styleId="Indholdsfortegnelse3">
    <w:name w:val="toc 3"/>
    <w:basedOn w:val="Normal"/>
    <w:next w:val="Normal"/>
    <w:autoRedefine/>
    <w:uiPriority w:val="39"/>
    <w:unhideWhenUsed/>
    <w:rsid w:val="00BB212C"/>
    <w:pPr>
      <w:spacing w:after="100"/>
      <w:ind w:left="440"/>
    </w:pPr>
    <w:rPr>
      <w:rFonts w:eastAsiaTheme="minorEastAsia" w:cs="Times New Roman"/>
      <w:lang w:eastAsia="da-DK"/>
    </w:rPr>
  </w:style>
  <w:style w:type="character" w:styleId="Hyperlink">
    <w:name w:val="Hyperlink"/>
    <w:basedOn w:val="Standardskrifttypeiafsnit"/>
    <w:uiPriority w:val="99"/>
    <w:unhideWhenUsed/>
    <w:rsid w:val="00BB212C"/>
    <w:rPr>
      <w:color w:val="0563C1" w:themeColor="hyperlink"/>
      <w:u w:val="single"/>
    </w:rPr>
  </w:style>
  <w:style w:type="paragraph" w:styleId="Opstilling-punkttegn">
    <w:name w:val="List Bullet"/>
    <w:basedOn w:val="Normal"/>
    <w:uiPriority w:val="99"/>
    <w:unhideWhenUsed/>
    <w:rsid w:val="00631190"/>
    <w:pPr>
      <w:numPr>
        <w:numId w:val="1"/>
      </w:numPr>
      <w:contextualSpacing/>
    </w:pPr>
  </w:style>
  <w:style w:type="paragraph" w:styleId="Markeringsbobletekst">
    <w:name w:val="Balloon Text"/>
    <w:basedOn w:val="Normal"/>
    <w:link w:val="MarkeringsbobletekstTegn"/>
    <w:uiPriority w:val="99"/>
    <w:semiHidden/>
    <w:unhideWhenUsed/>
    <w:rsid w:val="00D1248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12489"/>
    <w:rPr>
      <w:rFonts w:ascii="Segoe UI" w:hAnsi="Segoe UI" w:cs="Segoe UI"/>
      <w:sz w:val="18"/>
      <w:szCs w:val="18"/>
    </w:rPr>
  </w:style>
  <w:style w:type="character" w:customStyle="1" w:styleId="printhyperlink1">
    <w:name w:val="printhyperlink1"/>
    <w:basedOn w:val="Standardskrifttypeiafsnit"/>
    <w:rsid w:val="001840C0"/>
    <w:rPr>
      <w:rFonts w:ascii="Arial" w:hAnsi="Arial" w:cs="Arial" w:hint="default"/>
      <w:b w:val="0"/>
      <w:bCs w:val="0"/>
      <w:i w:val="0"/>
      <w:iCs w:val="0"/>
      <w:strike w:val="0"/>
      <w:dstrike w:val="0"/>
      <w:color w:val="000000"/>
      <w:sz w:val="22"/>
      <w:szCs w:val="22"/>
      <w:u w:val="none"/>
      <w:effect w:val="none"/>
    </w:rPr>
  </w:style>
  <w:style w:type="paragraph" w:styleId="Korrektur">
    <w:name w:val="Revision"/>
    <w:hidden/>
    <w:uiPriority w:val="99"/>
    <w:semiHidden/>
    <w:rsid w:val="00F07FCD"/>
    <w:pPr>
      <w:spacing w:after="0" w:line="240" w:lineRule="auto"/>
    </w:pPr>
  </w:style>
  <w:style w:type="table" w:styleId="Tabel-Gitter">
    <w:name w:val="Table Grid"/>
    <w:basedOn w:val="Tabel-Normal"/>
    <w:uiPriority w:val="59"/>
    <w:rsid w:val="00F1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0015BF"/>
    <w:rPr>
      <w:color w:val="954F72" w:themeColor="followedHyperlink"/>
      <w:u w:val="single"/>
    </w:rPr>
  </w:style>
  <w:style w:type="paragraph" w:styleId="Undertitel">
    <w:name w:val="Subtitle"/>
    <w:basedOn w:val="Normal"/>
    <w:next w:val="Normal"/>
    <w:link w:val="UndertitelTegn"/>
    <w:uiPriority w:val="11"/>
    <w:qFormat/>
    <w:rsid w:val="00F912F8"/>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912F8"/>
    <w:rPr>
      <w:rFonts w:eastAsiaTheme="minorEastAsia"/>
      <w:color w:val="5A5A5A" w:themeColor="text1" w:themeTint="A5"/>
      <w:spacing w:val="15"/>
    </w:rPr>
  </w:style>
  <w:style w:type="paragraph" w:styleId="Listeafsnit">
    <w:name w:val="List Paragraph"/>
    <w:basedOn w:val="Normal"/>
    <w:uiPriority w:val="34"/>
    <w:qFormat/>
    <w:rsid w:val="00A06FC5"/>
    <w:pPr>
      <w:spacing w:after="0" w:line="240" w:lineRule="auto"/>
      <w:ind w:left="720"/>
      <w:contextualSpacing/>
    </w:pPr>
    <w:rPr>
      <w:sz w:val="24"/>
      <w:szCs w:val="24"/>
    </w:rPr>
  </w:style>
  <w:style w:type="paragraph" w:styleId="Brdtekstindrykning">
    <w:name w:val="Body Text Indent"/>
    <w:basedOn w:val="Normal"/>
    <w:link w:val="BrdtekstindrykningTegn"/>
    <w:uiPriority w:val="99"/>
    <w:unhideWhenUsed/>
    <w:rsid w:val="00A06FC5"/>
    <w:pPr>
      <w:spacing w:after="0" w:line="240" w:lineRule="auto"/>
      <w:ind w:left="142"/>
    </w:pPr>
    <w:rPr>
      <w:rFonts w:ascii="Verdana" w:hAnsi="Verdana"/>
      <w:sz w:val="14"/>
      <w:szCs w:val="14"/>
    </w:rPr>
  </w:style>
  <w:style w:type="character" w:customStyle="1" w:styleId="BrdtekstindrykningTegn">
    <w:name w:val="Brødtekstindrykning Tegn"/>
    <w:basedOn w:val="Standardskrifttypeiafsnit"/>
    <w:link w:val="Brdtekstindrykning"/>
    <w:uiPriority w:val="99"/>
    <w:rsid w:val="00A06FC5"/>
    <w:rPr>
      <w:rFonts w:ascii="Verdana" w:hAnsi="Verdana"/>
      <w:sz w:val="14"/>
      <w:szCs w:val="14"/>
    </w:rPr>
  </w:style>
  <w:style w:type="paragraph" w:styleId="Brdtekst3">
    <w:name w:val="Body Text 3"/>
    <w:basedOn w:val="Normal"/>
    <w:link w:val="Brdtekst3Tegn"/>
    <w:uiPriority w:val="99"/>
    <w:unhideWhenUsed/>
    <w:rsid w:val="00A06FC5"/>
    <w:pPr>
      <w:spacing w:after="0" w:line="240" w:lineRule="auto"/>
      <w:jc w:val="center"/>
    </w:pPr>
    <w:rPr>
      <w:rFonts w:ascii="Verdana" w:hAnsi="Verdana"/>
      <w:sz w:val="18"/>
      <w:szCs w:val="18"/>
    </w:rPr>
  </w:style>
  <w:style w:type="character" w:customStyle="1" w:styleId="Brdtekst3Tegn">
    <w:name w:val="Brødtekst 3 Tegn"/>
    <w:basedOn w:val="Standardskrifttypeiafsnit"/>
    <w:link w:val="Brdtekst3"/>
    <w:uiPriority w:val="99"/>
    <w:rsid w:val="00A06FC5"/>
    <w:rPr>
      <w:rFonts w:ascii="Verdana" w:hAnsi="Verdana"/>
      <w:sz w:val="18"/>
      <w:szCs w:val="18"/>
    </w:rPr>
  </w:style>
  <w:style w:type="paragraph" w:styleId="Sidehoved">
    <w:name w:val="header"/>
    <w:basedOn w:val="Normal"/>
    <w:link w:val="SidehovedTegn"/>
    <w:uiPriority w:val="99"/>
    <w:unhideWhenUsed/>
    <w:rsid w:val="005369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69AD"/>
  </w:style>
  <w:style w:type="paragraph" w:styleId="Sidefod">
    <w:name w:val="footer"/>
    <w:basedOn w:val="Normal"/>
    <w:link w:val="SidefodTegn"/>
    <w:uiPriority w:val="99"/>
    <w:unhideWhenUsed/>
    <w:rsid w:val="005369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69AD"/>
  </w:style>
  <w:style w:type="character" w:customStyle="1" w:styleId="cf01">
    <w:name w:val="cf01"/>
    <w:basedOn w:val="Standardskrifttypeiafsnit"/>
    <w:rsid w:val="008C2CC5"/>
    <w:rPr>
      <w:rFonts w:ascii="Segoe UI" w:hAnsi="Segoe UI" w:cs="Segoe UI" w:hint="default"/>
      <w:sz w:val="18"/>
      <w:szCs w:val="18"/>
    </w:rPr>
  </w:style>
  <w:style w:type="paragraph" w:customStyle="1" w:styleId="pf0">
    <w:name w:val="pf0"/>
    <w:basedOn w:val="Normal"/>
    <w:rsid w:val="008C2CC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B25F14"/>
    <w:rPr>
      <w:color w:val="605E5C"/>
      <w:shd w:val="clear" w:color="auto" w:fill="E1DFDD"/>
    </w:rPr>
  </w:style>
  <w:style w:type="character" w:customStyle="1" w:styleId="cf11">
    <w:name w:val="cf11"/>
    <w:basedOn w:val="Standardskrifttypeiafsnit"/>
    <w:rsid w:val="00DB6CF5"/>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276">
      <w:bodyDiv w:val="1"/>
      <w:marLeft w:val="0"/>
      <w:marRight w:val="0"/>
      <w:marTop w:val="0"/>
      <w:marBottom w:val="0"/>
      <w:divBdr>
        <w:top w:val="none" w:sz="0" w:space="0" w:color="auto"/>
        <w:left w:val="none" w:sz="0" w:space="0" w:color="auto"/>
        <w:bottom w:val="none" w:sz="0" w:space="0" w:color="auto"/>
        <w:right w:val="none" w:sz="0" w:space="0" w:color="auto"/>
      </w:divBdr>
    </w:div>
    <w:div w:id="560411543">
      <w:bodyDiv w:val="1"/>
      <w:marLeft w:val="0"/>
      <w:marRight w:val="0"/>
      <w:marTop w:val="0"/>
      <w:marBottom w:val="0"/>
      <w:divBdr>
        <w:top w:val="none" w:sz="0" w:space="0" w:color="auto"/>
        <w:left w:val="none" w:sz="0" w:space="0" w:color="auto"/>
        <w:bottom w:val="none" w:sz="0" w:space="0" w:color="auto"/>
        <w:right w:val="none" w:sz="0" w:space="0" w:color="auto"/>
      </w:divBdr>
    </w:div>
    <w:div w:id="769084777">
      <w:bodyDiv w:val="1"/>
      <w:marLeft w:val="0"/>
      <w:marRight w:val="0"/>
      <w:marTop w:val="0"/>
      <w:marBottom w:val="0"/>
      <w:divBdr>
        <w:top w:val="none" w:sz="0" w:space="0" w:color="auto"/>
        <w:left w:val="none" w:sz="0" w:space="0" w:color="auto"/>
        <w:bottom w:val="none" w:sz="0" w:space="0" w:color="auto"/>
        <w:right w:val="none" w:sz="0" w:space="0" w:color="auto"/>
      </w:divBdr>
    </w:div>
    <w:div w:id="14568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5E1F-DC9A-4A7C-8716-CBB48E70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5596</Words>
  <Characters>34136</Characters>
  <Application>Microsoft Office Word</Application>
  <DocSecurity>0</DocSecurity>
  <Lines>284</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Nordjylland</Company>
  <LinksUpToDate>false</LinksUpToDate>
  <CharactersWithSpaces>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Samuelsen Sørensen</dc:creator>
  <cp:keywords/>
  <dc:description/>
  <cp:lastModifiedBy>Bitten Aagaard Jensen</cp:lastModifiedBy>
  <cp:revision>2</cp:revision>
  <cp:lastPrinted>2023-04-10T16:42:00Z</cp:lastPrinted>
  <dcterms:created xsi:type="dcterms:W3CDTF">2024-07-01T06:40:00Z</dcterms:created>
  <dcterms:modified xsi:type="dcterms:W3CDTF">2024-07-01T06:40:00Z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{9561CCF1-3A84-43F8-9DE0-63558A3E6010}</vt:lpwstr>
  </property>
</Properties>
</file>