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370C" w14:textId="77777777" w:rsidR="004D0DC2" w:rsidRPr="0087533D" w:rsidRDefault="004D0DC2" w:rsidP="00E022DB">
      <w:pPr>
        <w:pStyle w:val="Brdtekst"/>
        <w:rPr>
          <w:sz w:val="32"/>
          <w:szCs w:val="32"/>
        </w:rPr>
      </w:pPr>
      <w:r w:rsidRPr="0087533D">
        <w:rPr>
          <w:sz w:val="32"/>
          <w:szCs w:val="32"/>
        </w:rPr>
        <w:t xml:space="preserve">National anbefaling for udredning </w:t>
      </w:r>
      <w:r w:rsidR="00493F46" w:rsidRPr="0087533D">
        <w:rPr>
          <w:sz w:val="32"/>
          <w:szCs w:val="32"/>
        </w:rPr>
        <w:t>af</w:t>
      </w:r>
      <w:r w:rsidRPr="0087533D">
        <w:rPr>
          <w:sz w:val="32"/>
          <w:szCs w:val="32"/>
        </w:rPr>
        <w:t xml:space="preserve"> immund</w:t>
      </w:r>
      <w:r w:rsidR="001D1EF9" w:rsidRPr="0087533D">
        <w:rPr>
          <w:sz w:val="32"/>
          <w:szCs w:val="32"/>
        </w:rPr>
        <w:t>efekt</w:t>
      </w:r>
      <w:r w:rsidRPr="0087533D">
        <w:rPr>
          <w:sz w:val="32"/>
          <w:szCs w:val="32"/>
        </w:rPr>
        <w:t xml:space="preserve"> i Klinisk Immunologi.</w:t>
      </w:r>
    </w:p>
    <w:p w14:paraId="08BE71DA" w14:textId="4E3C27F1" w:rsidR="004D0DC2" w:rsidRPr="0087533D" w:rsidRDefault="004D0DC2"/>
    <w:p w14:paraId="74D52589" w14:textId="0BA54256" w:rsidR="00483A5A" w:rsidRPr="0087533D" w:rsidRDefault="00483A5A" w:rsidP="00483A5A">
      <w:pPr>
        <w:pStyle w:val="Brdtekst"/>
      </w:pPr>
      <w:r w:rsidRPr="0087533D">
        <w:t>Version 2 (24-09-2021).</w:t>
      </w:r>
    </w:p>
    <w:p w14:paraId="0505AF38" w14:textId="5AC84FC1" w:rsidR="00483A5A" w:rsidRPr="0087533D" w:rsidRDefault="00483A5A">
      <w:pPr>
        <w:rPr>
          <w:b/>
        </w:rPr>
      </w:pPr>
      <w:r w:rsidRPr="0087533D">
        <w:rPr>
          <w:b/>
        </w:rPr>
        <w:t>Udarbejdet af Diagnostisk Udvalg (Hanne Vibeke Hansen Marquart, Kaspar René Nielsen, Susanne Gjørup Sækmose, Torben Berington og Jens Magnus Bernth Jensen).</w:t>
      </w:r>
    </w:p>
    <w:p w14:paraId="7266C914" w14:textId="77777777" w:rsidR="00483A5A" w:rsidRPr="0087533D" w:rsidRDefault="00483A5A">
      <w:pPr>
        <w:rPr>
          <w:b/>
        </w:rPr>
      </w:pPr>
    </w:p>
    <w:p w14:paraId="0D225BEF" w14:textId="6E743D02" w:rsidR="009E465F" w:rsidRPr="0087533D" w:rsidRDefault="001D1EF9" w:rsidP="009E465F">
      <w:pPr>
        <w:pStyle w:val="Brdtekst2"/>
      </w:pPr>
      <w:r w:rsidRPr="0087533D">
        <w:t xml:space="preserve">Ved immundefekt </w:t>
      </w:r>
      <w:r w:rsidR="00F442B6" w:rsidRPr="0087533D">
        <w:t>forstå</w:t>
      </w:r>
      <w:r w:rsidR="006524D8" w:rsidRPr="0087533D">
        <w:t>s flg. f</w:t>
      </w:r>
      <w:r w:rsidRPr="0087533D">
        <w:t>ormer for immundysfunktion</w:t>
      </w:r>
      <w:r w:rsidR="009E465F" w:rsidRPr="0087533D">
        <w:t xml:space="preserve">: </w:t>
      </w:r>
    </w:p>
    <w:p w14:paraId="7A2D9BB3" w14:textId="71E847D4" w:rsidR="009E465F" w:rsidRPr="0087533D" w:rsidRDefault="009E465F" w:rsidP="009E465F">
      <w:pPr>
        <w:pStyle w:val="Listeafsnit"/>
        <w:numPr>
          <w:ilvl w:val="0"/>
          <w:numId w:val="2"/>
        </w:numPr>
        <w:jc w:val="both"/>
      </w:pPr>
      <w:r w:rsidRPr="0087533D">
        <w:t>Ø</w:t>
      </w:r>
      <w:r w:rsidR="00A93B6D" w:rsidRPr="0087533D">
        <w:t>get infektion</w:t>
      </w:r>
      <w:r w:rsidR="00FC2CD6" w:rsidRPr="0087533D">
        <w:t>stendens</w:t>
      </w:r>
      <w:r w:rsidR="00A7231F" w:rsidRPr="0087533D">
        <w:t xml:space="preserve"> ift. </w:t>
      </w:r>
      <w:r w:rsidR="006524D8" w:rsidRPr="0087533D">
        <w:t>r</w:t>
      </w:r>
      <w:r w:rsidR="00A7231F" w:rsidRPr="0087533D">
        <w:t xml:space="preserve">elevant baggrundsbefolkning </w:t>
      </w:r>
    </w:p>
    <w:p w14:paraId="42BB1025" w14:textId="77777777" w:rsidR="00A7231F" w:rsidRPr="0087533D" w:rsidRDefault="00A7231F" w:rsidP="00FC6A90">
      <w:pPr>
        <w:pStyle w:val="Listeafsnit"/>
        <w:numPr>
          <w:ilvl w:val="1"/>
          <w:numId w:val="2"/>
        </w:numPr>
        <w:jc w:val="both"/>
      </w:pPr>
      <w:r w:rsidRPr="0087533D">
        <w:t>Hyppigere og/eller svære forløbende infektioner</w:t>
      </w:r>
    </w:p>
    <w:p w14:paraId="1D672E64" w14:textId="77777777" w:rsidR="00A7231F" w:rsidRPr="0087533D" w:rsidRDefault="00A7231F" w:rsidP="00FC6A90">
      <w:pPr>
        <w:pStyle w:val="Listeafsnit"/>
        <w:numPr>
          <w:ilvl w:val="1"/>
          <w:numId w:val="2"/>
        </w:numPr>
        <w:jc w:val="both"/>
      </w:pPr>
      <w:r w:rsidRPr="0087533D">
        <w:t>Infektioner med mikroorganismer, der menes at være apatogene i raske mennesker.</w:t>
      </w:r>
    </w:p>
    <w:p w14:paraId="1A6B68BB" w14:textId="77777777" w:rsidR="007524D7" w:rsidRPr="0087533D" w:rsidRDefault="007524D7" w:rsidP="007524D7">
      <w:pPr>
        <w:pStyle w:val="Listeafsnit"/>
        <w:ind w:left="1440"/>
        <w:jc w:val="both"/>
      </w:pPr>
    </w:p>
    <w:p w14:paraId="259D7C77" w14:textId="77777777" w:rsidR="00760D37" w:rsidRPr="0087533D" w:rsidRDefault="009E465F" w:rsidP="00A7231F">
      <w:pPr>
        <w:pStyle w:val="Listeafsnit"/>
        <w:numPr>
          <w:ilvl w:val="0"/>
          <w:numId w:val="2"/>
        </w:numPr>
        <w:jc w:val="both"/>
      </w:pPr>
      <w:r w:rsidRPr="0087533D">
        <w:t>I</w:t>
      </w:r>
      <w:r w:rsidR="00D6374D" w:rsidRPr="0087533D">
        <w:t>mmundysregul</w:t>
      </w:r>
      <w:r w:rsidR="007524D7" w:rsidRPr="0087533D">
        <w:t>ering</w:t>
      </w:r>
      <w:r w:rsidR="00A7231F" w:rsidRPr="0087533D">
        <w:t xml:space="preserve">: </w:t>
      </w:r>
      <w:r w:rsidR="00760D37" w:rsidRPr="0087533D">
        <w:t xml:space="preserve">Insufficient </w:t>
      </w:r>
      <w:r w:rsidR="007524D7" w:rsidRPr="0087533D">
        <w:t xml:space="preserve">hæmning </w:t>
      </w:r>
      <w:r w:rsidR="00760D37" w:rsidRPr="0087533D">
        <w:t>af immunsystemet</w:t>
      </w:r>
      <w:r w:rsidR="007524D7" w:rsidRPr="0087533D">
        <w:t>.</w:t>
      </w:r>
    </w:p>
    <w:p w14:paraId="25BCB35B" w14:textId="77777777" w:rsidR="007524D7" w:rsidRPr="0087533D" w:rsidRDefault="007524D7" w:rsidP="007524D7">
      <w:pPr>
        <w:pStyle w:val="Listeafsnit"/>
        <w:ind w:left="1440"/>
        <w:jc w:val="both"/>
      </w:pPr>
    </w:p>
    <w:p w14:paraId="53396088" w14:textId="77777777" w:rsidR="007524D7" w:rsidRPr="0087533D" w:rsidRDefault="009E465F" w:rsidP="00A7231F">
      <w:pPr>
        <w:pStyle w:val="Listeafsnit"/>
        <w:numPr>
          <w:ilvl w:val="0"/>
          <w:numId w:val="2"/>
        </w:numPr>
        <w:jc w:val="both"/>
      </w:pPr>
      <w:r w:rsidRPr="0087533D">
        <w:t>A</w:t>
      </w:r>
      <w:r w:rsidR="00D6374D" w:rsidRPr="0087533D">
        <w:t>utoinflammation</w:t>
      </w:r>
      <w:r w:rsidR="00A7231F" w:rsidRPr="0087533D">
        <w:t>: persisterende o</w:t>
      </w:r>
      <w:r w:rsidR="007524D7" w:rsidRPr="0087533D">
        <w:t>veraktivering af antigen-uafhængig inflammation.</w:t>
      </w:r>
    </w:p>
    <w:p w14:paraId="5B391D44" w14:textId="77777777" w:rsidR="009A7B4E" w:rsidRPr="0087533D" w:rsidRDefault="009A7B4E" w:rsidP="00E85886">
      <w:pPr>
        <w:jc w:val="both"/>
      </w:pPr>
    </w:p>
    <w:p w14:paraId="3924AE11" w14:textId="7C19D922" w:rsidR="00A76790" w:rsidRPr="0087533D" w:rsidRDefault="00F442B6" w:rsidP="00E85886">
      <w:pPr>
        <w:jc w:val="both"/>
      </w:pPr>
      <w:r w:rsidRPr="0087533D">
        <w:t>Primær immundysfunktion</w:t>
      </w:r>
      <w:r w:rsidR="001D1EF9" w:rsidRPr="0087533D">
        <w:t xml:space="preserve"> </w:t>
      </w:r>
      <w:r w:rsidR="002D6DB4" w:rsidRPr="0087533D">
        <w:t xml:space="preserve">(PID) omfatter tilstande som ikke er sekundære til </w:t>
      </w:r>
      <w:r w:rsidR="00B1617A" w:rsidRPr="0087533D">
        <w:t xml:space="preserve">eksogene faktorer, mangeltilstande </w:t>
      </w:r>
      <w:r w:rsidR="002D6DB4" w:rsidRPr="0087533D">
        <w:t xml:space="preserve">eller anden </w:t>
      </w:r>
      <w:r w:rsidR="00B1617A" w:rsidRPr="0087533D">
        <w:t>sygdom.</w:t>
      </w:r>
      <w:r w:rsidR="002D6DB4" w:rsidRPr="0087533D">
        <w:t xml:space="preserve"> </w:t>
      </w:r>
      <w:r w:rsidR="0067201D" w:rsidRPr="0087533D">
        <w:t xml:space="preserve">Det er vigtigt at erkende sekundær immundysfunktion (SID) som mulig forklaring og tilpasse udredningen af immundysfunktion i henhold til dette. </w:t>
      </w:r>
      <w:r w:rsidR="00A76790" w:rsidRPr="0087533D">
        <w:t xml:space="preserve">Immundysfunktion </w:t>
      </w:r>
      <w:r w:rsidR="002D6DB4" w:rsidRPr="0087533D">
        <w:t>er ofte genetisk betinget.</w:t>
      </w:r>
      <w:r w:rsidR="0067201D" w:rsidRPr="0087533D">
        <w:t xml:space="preserve"> </w:t>
      </w:r>
      <w:r w:rsidR="009E465F" w:rsidRPr="0087533D">
        <w:t>A</w:t>
      </w:r>
      <w:r w:rsidR="00FC2811" w:rsidRPr="0087533D">
        <w:t>rvegang</w:t>
      </w:r>
      <w:r w:rsidR="009E465F" w:rsidRPr="0087533D">
        <w:t xml:space="preserve">en </w:t>
      </w:r>
      <w:r w:rsidR="00A93B6D" w:rsidRPr="0087533D">
        <w:t xml:space="preserve">varierer </w:t>
      </w:r>
      <w:r w:rsidR="00D6374D" w:rsidRPr="0087533D">
        <w:t>stærkt</w:t>
      </w:r>
      <w:r w:rsidR="00C905EA" w:rsidRPr="0087533D">
        <w:t xml:space="preserve"> i kompleksitet</w:t>
      </w:r>
      <w:r w:rsidR="00D6374D" w:rsidRPr="0087533D">
        <w:t xml:space="preserve">; </w:t>
      </w:r>
      <w:r w:rsidR="00FC2811" w:rsidRPr="0087533D">
        <w:t xml:space="preserve">fra monogene sygdomme med </w:t>
      </w:r>
      <w:r w:rsidR="002964CD" w:rsidRPr="0087533D">
        <w:t xml:space="preserve">forventet </w:t>
      </w:r>
      <w:r w:rsidR="00FC2811" w:rsidRPr="0087533D">
        <w:t>fuld penetrans til sygdomme med polygen årsag og lav penetrans.</w:t>
      </w:r>
      <w:r w:rsidR="00991E82" w:rsidRPr="0087533D">
        <w:t xml:space="preserve"> </w:t>
      </w:r>
      <w:r w:rsidR="009E2C55" w:rsidRPr="0087533D">
        <w:t xml:space="preserve">En påvist gendefekt kan have stor behandlingsmæssig betydning for </w:t>
      </w:r>
      <w:r w:rsidR="008B79E5" w:rsidRPr="0087533D">
        <w:t>probanden</w:t>
      </w:r>
      <w:r w:rsidR="009E2C55" w:rsidRPr="0087533D">
        <w:t xml:space="preserve">, dennes slægtninge og </w:t>
      </w:r>
      <w:r w:rsidR="00A76790" w:rsidRPr="0087533D">
        <w:t xml:space="preserve">kan </w:t>
      </w:r>
      <w:r w:rsidR="009E2C55" w:rsidRPr="0087533D">
        <w:t xml:space="preserve">evt. </w:t>
      </w:r>
      <w:r w:rsidR="00A76790" w:rsidRPr="0087533D">
        <w:t xml:space="preserve">benyttes til </w:t>
      </w:r>
      <w:r w:rsidR="009E2C55" w:rsidRPr="0087533D">
        <w:t xml:space="preserve">prænatal diagnostik. </w:t>
      </w:r>
    </w:p>
    <w:p w14:paraId="4F369F63" w14:textId="77777777" w:rsidR="00B1617A" w:rsidRPr="0087533D" w:rsidRDefault="00B1617A" w:rsidP="00E85886">
      <w:pPr>
        <w:jc w:val="both"/>
      </w:pPr>
      <w:r w:rsidRPr="0087533D">
        <w:rPr>
          <w:b/>
        </w:rPr>
        <w:t>Familieanamnese</w:t>
      </w:r>
      <w:r w:rsidRPr="0087533D">
        <w:t xml:space="preserve"> </w:t>
      </w:r>
      <w:r w:rsidR="009E2C55" w:rsidRPr="0087533D">
        <w:t xml:space="preserve">er vigtig i belysningen af sandsynligheden for gendefekt hos </w:t>
      </w:r>
      <w:r w:rsidR="008B79E5" w:rsidRPr="0087533D">
        <w:t>probanden</w:t>
      </w:r>
      <w:r w:rsidR="009E2C55" w:rsidRPr="0087533D">
        <w:t xml:space="preserve"> men også i opsporingen af evt. andre afficerede personer. </w:t>
      </w:r>
      <w:r w:rsidR="00434BA2" w:rsidRPr="0087533D">
        <w:t xml:space="preserve">Familieanamnesen bør afklare om der er slægtninge </w:t>
      </w:r>
      <w:r w:rsidR="008B79E5" w:rsidRPr="0087533D">
        <w:t xml:space="preserve">(1. eller 2. grads) </w:t>
      </w:r>
      <w:r w:rsidR="00434BA2" w:rsidRPr="0087533D">
        <w:t>med diagnosticeret immund</w:t>
      </w:r>
      <w:r w:rsidR="004A1AA6" w:rsidRPr="0087533D">
        <w:t>ysfunktion</w:t>
      </w:r>
      <w:r w:rsidR="00434BA2" w:rsidRPr="0087533D">
        <w:t xml:space="preserve"> og/eller lignende symptomer, om forældrene er </w:t>
      </w:r>
      <w:r w:rsidR="007E4514" w:rsidRPr="0087533D">
        <w:t>blodsbeslægtede</w:t>
      </w:r>
      <w:r w:rsidR="00434BA2" w:rsidRPr="0087533D">
        <w:t xml:space="preserve"> og om der </w:t>
      </w:r>
      <w:r w:rsidR="007E4514" w:rsidRPr="0087533D">
        <w:t xml:space="preserve">i familien </w:t>
      </w:r>
      <w:r w:rsidR="00434BA2" w:rsidRPr="0087533D">
        <w:t xml:space="preserve">har været tilfælde med tidlige død som evt. kan henføres til immundysfunktion. </w:t>
      </w:r>
      <w:r w:rsidR="00493F46" w:rsidRPr="0087533D">
        <w:t xml:space="preserve">Desuden </w:t>
      </w:r>
      <w:r w:rsidR="007E4514" w:rsidRPr="0087533D">
        <w:t xml:space="preserve">indhentes oplysninger om </w:t>
      </w:r>
      <w:r w:rsidR="00493F46" w:rsidRPr="0087533D">
        <w:t>generel familiær disposition.</w:t>
      </w:r>
    </w:p>
    <w:p w14:paraId="7D8D714D" w14:textId="77777777" w:rsidR="009A7B4E" w:rsidRPr="0087533D" w:rsidRDefault="00C905EA" w:rsidP="00E85886">
      <w:pPr>
        <w:jc w:val="both"/>
      </w:pPr>
      <w:r w:rsidRPr="0087533D">
        <w:t xml:space="preserve">Immundysfunktion kan </w:t>
      </w:r>
      <w:r w:rsidR="009A7B4E" w:rsidRPr="0087533D">
        <w:t>føre til</w:t>
      </w:r>
      <w:r w:rsidRPr="0087533D">
        <w:t xml:space="preserve"> sekundær </w:t>
      </w:r>
      <w:r w:rsidRPr="0087533D">
        <w:rPr>
          <w:b/>
        </w:rPr>
        <w:t>organskade</w:t>
      </w:r>
      <w:r w:rsidR="007E4514" w:rsidRPr="0087533D">
        <w:t xml:space="preserve">, fx bronkiektasier ved øget </w:t>
      </w:r>
      <w:r w:rsidRPr="0087533D">
        <w:t>tendens</w:t>
      </w:r>
      <w:r w:rsidR="009A7B4E" w:rsidRPr="0087533D">
        <w:t xml:space="preserve"> </w:t>
      </w:r>
      <w:r w:rsidR="007E4514" w:rsidRPr="0087533D">
        <w:t>t</w:t>
      </w:r>
      <w:r w:rsidR="009A7B4E" w:rsidRPr="0087533D">
        <w:t>i</w:t>
      </w:r>
      <w:r w:rsidR="007E4514" w:rsidRPr="0087533D">
        <w:t>l</w:t>
      </w:r>
      <w:r w:rsidR="009A7B4E" w:rsidRPr="0087533D">
        <w:t xml:space="preserve"> </w:t>
      </w:r>
      <w:r w:rsidR="007E4514" w:rsidRPr="0087533D">
        <w:t>p</w:t>
      </w:r>
      <w:r w:rsidR="009A7B4E" w:rsidRPr="0087533D">
        <w:t>neumonier</w:t>
      </w:r>
      <w:r w:rsidRPr="0087533D">
        <w:t xml:space="preserve">, </w:t>
      </w:r>
      <w:r w:rsidR="001D4F14" w:rsidRPr="0087533D">
        <w:t xml:space="preserve">multiorgansvigt ved </w:t>
      </w:r>
      <w:r w:rsidR="00CD514D" w:rsidRPr="0087533D">
        <w:t xml:space="preserve">immundysregulation </w:t>
      </w:r>
      <w:r w:rsidR="00125B52" w:rsidRPr="0087533D">
        <w:t>(</w:t>
      </w:r>
      <w:r w:rsidR="00CD514D" w:rsidRPr="0087533D">
        <w:t xml:space="preserve">fx </w:t>
      </w:r>
      <w:r w:rsidR="001D4F14" w:rsidRPr="0087533D">
        <w:t>hæmofagocytisk lymfohistiocytose</w:t>
      </w:r>
      <w:r w:rsidR="00125B52" w:rsidRPr="0087533D">
        <w:t>)</w:t>
      </w:r>
      <w:r w:rsidR="009A7B4E" w:rsidRPr="0087533D">
        <w:t xml:space="preserve"> og amyloidose ved autoinflammation. </w:t>
      </w:r>
      <w:r w:rsidR="00B1617A" w:rsidRPr="0087533D">
        <w:t>O</w:t>
      </w:r>
      <w:r w:rsidR="009A7B4E" w:rsidRPr="0087533D">
        <w:t xml:space="preserve">rganskade </w:t>
      </w:r>
      <w:r w:rsidR="00BA1D31" w:rsidRPr="0087533D">
        <w:t xml:space="preserve">er kraftigt indicium på alvorlighed af en evt. immundysfunktion og karakteriseringen er derfor </w:t>
      </w:r>
      <w:r w:rsidR="009A7B4E" w:rsidRPr="0087533D">
        <w:t xml:space="preserve">vigtig i udredningen og behandlingen af </w:t>
      </w:r>
      <w:r w:rsidR="00D47075" w:rsidRPr="0087533D">
        <w:t>sådanne patienter</w:t>
      </w:r>
      <w:r w:rsidR="009A7B4E" w:rsidRPr="0087533D">
        <w:t>.</w:t>
      </w:r>
    </w:p>
    <w:p w14:paraId="36409D18" w14:textId="77777777" w:rsidR="00B1617A" w:rsidRPr="0087533D" w:rsidRDefault="009A7B4E" w:rsidP="00E85886">
      <w:pPr>
        <w:jc w:val="both"/>
      </w:pPr>
      <w:r w:rsidRPr="0087533D">
        <w:t xml:space="preserve">Immundysfunktion kan have </w:t>
      </w:r>
      <w:r w:rsidR="003862A4" w:rsidRPr="0087533D">
        <w:t xml:space="preserve">en lang række forskellige </w:t>
      </w:r>
      <w:r w:rsidRPr="0087533D">
        <w:rPr>
          <w:b/>
        </w:rPr>
        <w:t>ledsagemanifestationer</w:t>
      </w:r>
      <w:r w:rsidRPr="0087533D">
        <w:t xml:space="preserve">, fx </w:t>
      </w:r>
      <w:r w:rsidR="00B1617A" w:rsidRPr="0087533D">
        <w:t xml:space="preserve">autoimmunitet, malignitet, atopi, </w:t>
      </w:r>
      <w:r w:rsidR="00747A78" w:rsidRPr="0087533D">
        <w:t>m</w:t>
      </w:r>
      <w:r w:rsidR="00B1617A" w:rsidRPr="0087533D">
        <w:t xml:space="preserve">v. </w:t>
      </w:r>
      <w:r w:rsidR="00747A78" w:rsidRPr="0087533D">
        <w:t xml:space="preserve">Derudover kan PID være ledsaget af udviklingsanomalier og </w:t>
      </w:r>
      <w:r w:rsidR="003862A4" w:rsidRPr="0087533D">
        <w:t xml:space="preserve">optræde som </w:t>
      </w:r>
      <w:r w:rsidR="00747A78" w:rsidRPr="0087533D">
        <w:t xml:space="preserve">del af syndromer. </w:t>
      </w:r>
      <w:r w:rsidR="00B1617A" w:rsidRPr="0087533D">
        <w:t>Ledsagemanifestation</w:t>
      </w:r>
      <w:r w:rsidR="003862A4" w:rsidRPr="0087533D">
        <w:t>erne kan være ganske specifikke</w:t>
      </w:r>
      <w:r w:rsidR="00B1617A" w:rsidRPr="0087533D">
        <w:t>, hvilket kan have stor diagnostisk og behandlingsmæssig betydning</w:t>
      </w:r>
      <w:r w:rsidR="003862A4" w:rsidRPr="0087533D">
        <w:t xml:space="preserve"> for den enkelte immundysfunktionstilstand</w:t>
      </w:r>
      <w:r w:rsidR="00B1617A" w:rsidRPr="0087533D">
        <w:t>.</w:t>
      </w:r>
    </w:p>
    <w:p w14:paraId="67D780F3" w14:textId="77777777" w:rsidR="00C905EA" w:rsidRPr="0087533D" w:rsidRDefault="009A7B4E" w:rsidP="00E85886">
      <w:pPr>
        <w:jc w:val="both"/>
      </w:pPr>
      <w:r w:rsidRPr="0087533D">
        <w:lastRenderedPageBreak/>
        <w:t xml:space="preserve"> </w:t>
      </w:r>
    </w:p>
    <w:p w14:paraId="517AE54F" w14:textId="77777777" w:rsidR="00FC09C7" w:rsidRPr="0087533D" w:rsidRDefault="00C905EA" w:rsidP="00E85886">
      <w:pPr>
        <w:jc w:val="both"/>
      </w:pPr>
      <w:r w:rsidRPr="0087533D">
        <w:t xml:space="preserve">Udredning </w:t>
      </w:r>
      <w:r w:rsidR="00051089" w:rsidRPr="0087533D">
        <w:t>af</w:t>
      </w:r>
      <w:r w:rsidRPr="0087533D">
        <w:t xml:space="preserve"> </w:t>
      </w:r>
      <w:r w:rsidR="00323F65" w:rsidRPr="0087533D">
        <w:t>immundysfunktion</w:t>
      </w:r>
      <w:r w:rsidRPr="0087533D">
        <w:t xml:space="preserve"> kan være overordentlig ressourcetung. Det er derfor vigtigt at indikationen er klar og </w:t>
      </w:r>
      <w:r w:rsidR="00051089" w:rsidRPr="0087533D">
        <w:t>udredningsniveauet tilpasses herefter.</w:t>
      </w:r>
    </w:p>
    <w:p w14:paraId="72BBEB47" w14:textId="77777777" w:rsidR="00051089" w:rsidRPr="0087533D" w:rsidRDefault="00051089" w:rsidP="00E85886">
      <w:pPr>
        <w:jc w:val="both"/>
      </w:pPr>
    </w:p>
    <w:p w14:paraId="2E3DEBFE" w14:textId="77777777" w:rsidR="000260F9" w:rsidRPr="0087533D" w:rsidRDefault="000260F9" w:rsidP="00E85886">
      <w:pPr>
        <w:jc w:val="both"/>
      </w:pPr>
      <w:r w:rsidRPr="0087533D">
        <w:t>Henviste kan med fordel inddeles i flg. kategorier:</w:t>
      </w:r>
    </w:p>
    <w:tbl>
      <w:tblPr>
        <w:tblStyle w:val="Tabel-Gitter"/>
        <w:tblW w:w="0" w:type="auto"/>
        <w:tblLayout w:type="fixed"/>
        <w:tblLook w:val="04A0" w:firstRow="1" w:lastRow="0" w:firstColumn="1" w:lastColumn="0" w:noHBand="0" w:noVBand="1"/>
      </w:tblPr>
      <w:tblGrid>
        <w:gridCol w:w="1443"/>
        <w:gridCol w:w="6178"/>
        <w:gridCol w:w="1134"/>
        <w:gridCol w:w="1099"/>
      </w:tblGrid>
      <w:tr w:rsidR="00D57983" w:rsidRPr="0087533D" w14:paraId="2CA7C2CE" w14:textId="77777777" w:rsidTr="00D57983">
        <w:tc>
          <w:tcPr>
            <w:tcW w:w="1443" w:type="dxa"/>
          </w:tcPr>
          <w:p w14:paraId="18934A04" w14:textId="77777777" w:rsidR="00D57983" w:rsidRPr="0087533D" w:rsidRDefault="00D57983" w:rsidP="005045FD">
            <w:pPr>
              <w:pStyle w:val="Overskrift2"/>
              <w:outlineLvl w:val="1"/>
            </w:pPr>
            <w:r w:rsidRPr="0087533D">
              <w:t>PID</w:t>
            </w:r>
          </w:p>
        </w:tc>
        <w:tc>
          <w:tcPr>
            <w:tcW w:w="6178" w:type="dxa"/>
          </w:tcPr>
          <w:p w14:paraId="658B2DA7" w14:textId="77777777" w:rsidR="00D57983" w:rsidRPr="0087533D" w:rsidRDefault="00874369" w:rsidP="002730DB">
            <w:pPr>
              <w:pStyle w:val="Overskrift2"/>
              <w:outlineLvl w:val="1"/>
            </w:pPr>
            <w:r w:rsidRPr="0087533D">
              <w:t>Forhold</w:t>
            </w:r>
          </w:p>
        </w:tc>
        <w:tc>
          <w:tcPr>
            <w:tcW w:w="1134" w:type="dxa"/>
          </w:tcPr>
          <w:p w14:paraId="27635455" w14:textId="77777777" w:rsidR="00D57983" w:rsidRPr="0087533D" w:rsidRDefault="00D57983" w:rsidP="00874369">
            <w:pPr>
              <w:pStyle w:val="Overskrift2"/>
              <w:jc w:val="center"/>
              <w:outlineLvl w:val="1"/>
            </w:pPr>
            <w:r w:rsidRPr="0087533D">
              <w:t>S</w:t>
            </w:r>
            <w:r w:rsidR="00897FAA" w:rsidRPr="0087533D">
              <w:t>c</w:t>
            </w:r>
            <w:r w:rsidRPr="0087533D">
              <w:t>reening</w:t>
            </w:r>
          </w:p>
        </w:tc>
        <w:tc>
          <w:tcPr>
            <w:tcW w:w="1099" w:type="dxa"/>
          </w:tcPr>
          <w:p w14:paraId="28A7139A" w14:textId="77777777" w:rsidR="00D57983" w:rsidRPr="0087533D" w:rsidRDefault="00D57983" w:rsidP="00874369">
            <w:pPr>
              <w:pStyle w:val="Overskrift2"/>
              <w:jc w:val="center"/>
              <w:outlineLvl w:val="1"/>
            </w:pPr>
            <w:r w:rsidRPr="0087533D">
              <w:t>Genetisk test</w:t>
            </w:r>
          </w:p>
        </w:tc>
      </w:tr>
      <w:tr w:rsidR="00D57983" w:rsidRPr="0087533D" w14:paraId="3EBED58B" w14:textId="77777777" w:rsidTr="00D57983">
        <w:tc>
          <w:tcPr>
            <w:tcW w:w="1443" w:type="dxa"/>
          </w:tcPr>
          <w:p w14:paraId="3AE913BB" w14:textId="77777777" w:rsidR="00D57983" w:rsidRPr="0087533D" w:rsidRDefault="00D57983" w:rsidP="00E85886">
            <w:pPr>
              <w:jc w:val="both"/>
            </w:pPr>
            <w:r w:rsidRPr="0087533D">
              <w:t>Usandsynlig</w:t>
            </w:r>
          </w:p>
        </w:tc>
        <w:tc>
          <w:tcPr>
            <w:tcW w:w="6178" w:type="dxa"/>
          </w:tcPr>
          <w:p w14:paraId="1AA6BDEF" w14:textId="77777777" w:rsidR="00D57983" w:rsidRPr="0087533D" w:rsidRDefault="00D57983" w:rsidP="00AF1BF4">
            <w:pPr>
              <w:jc w:val="both"/>
            </w:pPr>
            <w:r w:rsidRPr="0087533D">
              <w:t xml:space="preserve">Anamnese og fund ikke abnorme </w:t>
            </w:r>
          </w:p>
        </w:tc>
        <w:tc>
          <w:tcPr>
            <w:tcW w:w="1134" w:type="dxa"/>
          </w:tcPr>
          <w:p w14:paraId="09D13ADE" w14:textId="77777777" w:rsidR="00D57983" w:rsidRPr="0087533D" w:rsidRDefault="00D57983" w:rsidP="00874369">
            <w:pPr>
              <w:jc w:val="center"/>
            </w:pPr>
            <w:r w:rsidRPr="0087533D">
              <w:t>Nej</w:t>
            </w:r>
          </w:p>
        </w:tc>
        <w:tc>
          <w:tcPr>
            <w:tcW w:w="1099" w:type="dxa"/>
          </w:tcPr>
          <w:p w14:paraId="3ACBFD3D" w14:textId="77777777" w:rsidR="00D57983" w:rsidRPr="0087533D" w:rsidRDefault="00D57983" w:rsidP="00874369">
            <w:pPr>
              <w:jc w:val="center"/>
            </w:pPr>
            <w:r w:rsidRPr="0087533D">
              <w:t>Nej</w:t>
            </w:r>
          </w:p>
        </w:tc>
      </w:tr>
      <w:tr w:rsidR="00D57983" w:rsidRPr="0087533D" w14:paraId="42A8EACE" w14:textId="77777777" w:rsidTr="00D57983">
        <w:tc>
          <w:tcPr>
            <w:tcW w:w="1443" w:type="dxa"/>
          </w:tcPr>
          <w:p w14:paraId="3A12FACE" w14:textId="77777777" w:rsidR="00D57983" w:rsidRPr="0087533D" w:rsidRDefault="00D57983" w:rsidP="00E85886">
            <w:pPr>
              <w:jc w:val="both"/>
            </w:pPr>
            <w:r w:rsidRPr="0087533D">
              <w:t>Mulig</w:t>
            </w:r>
          </w:p>
        </w:tc>
        <w:tc>
          <w:tcPr>
            <w:tcW w:w="6178" w:type="dxa"/>
          </w:tcPr>
          <w:p w14:paraId="052C8B5A" w14:textId="77777777" w:rsidR="00D57983" w:rsidRPr="0087533D" w:rsidRDefault="00D57983" w:rsidP="000C1FCD">
            <w:pPr>
              <w:jc w:val="both"/>
            </w:pPr>
            <w:r w:rsidRPr="0087533D">
              <w:t>Anamnese forenelig med PID. SID ikke umiddelbart forklarende.</w:t>
            </w:r>
          </w:p>
        </w:tc>
        <w:tc>
          <w:tcPr>
            <w:tcW w:w="1134" w:type="dxa"/>
          </w:tcPr>
          <w:p w14:paraId="18EABF5C" w14:textId="77777777" w:rsidR="00D57983" w:rsidRPr="0087533D" w:rsidRDefault="00D57983" w:rsidP="00874369">
            <w:pPr>
              <w:jc w:val="center"/>
            </w:pPr>
            <w:r w:rsidRPr="0087533D">
              <w:t>Ja</w:t>
            </w:r>
          </w:p>
        </w:tc>
        <w:tc>
          <w:tcPr>
            <w:tcW w:w="1099" w:type="dxa"/>
          </w:tcPr>
          <w:p w14:paraId="00BBE0BA" w14:textId="77777777" w:rsidR="00D57983" w:rsidRPr="0087533D" w:rsidRDefault="00D57983" w:rsidP="00874369">
            <w:pPr>
              <w:jc w:val="center"/>
            </w:pPr>
            <w:r w:rsidRPr="0087533D">
              <w:t>Nej</w:t>
            </w:r>
          </w:p>
        </w:tc>
      </w:tr>
      <w:tr w:rsidR="00D57983" w:rsidRPr="0087533D" w14:paraId="46CF8F93" w14:textId="77777777" w:rsidTr="00D57983">
        <w:tc>
          <w:tcPr>
            <w:tcW w:w="1443" w:type="dxa"/>
          </w:tcPr>
          <w:p w14:paraId="6544B342" w14:textId="77777777" w:rsidR="00D57983" w:rsidRPr="0087533D" w:rsidRDefault="00D57983" w:rsidP="00E85886">
            <w:pPr>
              <w:jc w:val="both"/>
            </w:pPr>
            <w:r w:rsidRPr="0087533D">
              <w:t>Sandsynlig</w:t>
            </w:r>
          </w:p>
        </w:tc>
        <w:tc>
          <w:tcPr>
            <w:tcW w:w="6178" w:type="dxa"/>
          </w:tcPr>
          <w:p w14:paraId="179DC8CA" w14:textId="77777777" w:rsidR="00D57983" w:rsidRPr="0087533D" w:rsidRDefault="00D57983" w:rsidP="00AF1BF4">
            <w:pPr>
              <w:jc w:val="both"/>
            </w:pPr>
            <w:r w:rsidRPr="0087533D">
              <w:t>SID ikke sandsynligt forklarende og mindst 1 af flg:</w:t>
            </w:r>
          </w:p>
          <w:p w14:paraId="1B2CB0BF" w14:textId="77777777" w:rsidR="00D57983" w:rsidRPr="0087533D" w:rsidRDefault="009E465F" w:rsidP="00AF1BF4">
            <w:pPr>
              <w:pStyle w:val="Listeafsnit"/>
              <w:numPr>
                <w:ilvl w:val="0"/>
                <w:numId w:val="1"/>
              </w:numPr>
              <w:jc w:val="both"/>
            </w:pPr>
            <w:r w:rsidRPr="0087533D">
              <w:t xml:space="preserve">Dokumenteret </w:t>
            </w:r>
            <w:r w:rsidR="00D57983" w:rsidRPr="0087533D">
              <w:t>immundysfunktion</w:t>
            </w:r>
          </w:p>
          <w:p w14:paraId="1C854E2E" w14:textId="77777777" w:rsidR="00D57983" w:rsidRPr="0087533D" w:rsidRDefault="00D57983" w:rsidP="002730DB">
            <w:pPr>
              <w:pStyle w:val="Listeafsnit"/>
              <w:numPr>
                <w:ilvl w:val="0"/>
                <w:numId w:val="1"/>
              </w:numPr>
              <w:jc w:val="both"/>
            </w:pPr>
            <w:r w:rsidRPr="0087533D">
              <w:t>Anamnese forenelig med immundysfunktion og mindst 1 af flg</w:t>
            </w:r>
            <w:r w:rsidR="00874369" w:rsidRPr="0087533D">
              <w:t>.</w:t>
            </w:r>
            <w:r w:rsidRPr="0087533D">
              <w:t>:</w:t>
            </w:r>
          </w:p>
          <w:p w14:paraId="4114F66E" w14:textId="77777777" w:rsidR="00402CBA" w:rsidRPr="0087533D" w:rsidRDefault="00402CBA" w:rsidP="00D57983">
            <w:pPr>
              <w:pStyle w:val="Listeafsnit"/>
              <w:numPr>
                <w:ilvl w:val="1"/>
                <w:numId w:val="1"/>
              </w:numPr>
              <w:jc w:val="both"/>
            </w:pPr>
            <w:r w:rsidRPr="0087533D">
              <w:t xml:space="preserve">Overensstemmende anamnese hos 1. </w:t>
            </w:r>
            <w:r w:rsidR="00E71860" w:rsidRPr="0087533D">
              <w:t xml:space="preserve">eller </w:t>
            </w:r>
            <w:r w:rsidRPr="0087533D">
              <w:t>2. gradsslægtninge.</w:t>
            </w:r>
          </w:p>
          <w:p w14:paraId="5C3EAAE2" w14:textId="7520FC51" w:rsidR="00CA481B" w:rsidRPr="0087533D" w:rsidRDefault="00F3534A" w:rsidP="00D57983">
            <w:pPr>
              <w:pStyle w:val="Listeafsnit"/>
              <w:numPr>
                <w:ilvl w:val="1"/>
                <w:numId w:val="1"/>
              </w:numPr>
              <w:jc w:val="both"/>
            </w:pPr>
            <w:r w:rsidRPr="0087533D">
              <w:t xml:space="preserve">Mindre barn </w:t>
            </w:r>
            <w:r w:rsidR="00CA481B" w:rsidRPr="0087533D">
              <w:t>med dårlig trivsel</w:t>
            </w:r>
          </w:p>
          <w:p w14:paraId="6B2E8088" w14:textId="77777777" w:rsidR="00524457" w:rsidRPr="0087533D" w:rsidRDefault="00524457" w:rsidP="00D57983">
            <w:pPr>
              <w:pStyle w:val="Listeafsnit"/>
              <w:numPr>
                <w:ilvl w:val="1"/>
                <w:numId w:val="1"/>
              </w:numPr>
              <w:jc w:val="both"/>
            </w:pPr>
            <w:r w:rsidRPr="0087533D">
              <w:t xml:space="preserve">Dokumenteret </w:t>
            </w:r>
            <w:r w:rsidR="00D57983" w:rsidRPr="0087533D">
              <w:t>organskade</w:t>
            </w:r>
            <w:r w:rsidRPr="0087533D">
              <w:t xml:space="preserve"> som sandsynligt er sekundært til den mistænkte type af immundysfunktion.</w:t>
            </w:r>
          </w:p>
          <w:p w14:paraId="7205D8D7" w14:textId="77777777" w:rsidR="00D57983" w:rsidRPr="0087533D" w:rsidRDefault="00524457" w:rsidP="00051089">
            <w:pPr>
              <w:pStyle w:val="Listeafsnit"/>
              <w:numPr>
                <w:ilvl w:val="1"/>
                <w:numId w:val="1"/>
              </w:numPr>
              <w:jc w:val="both"/>
            </w:pPr>
            <w:r w:rsidRPr="0087533D">
              <w:t>Dokumentere</w:t>
            </w:r>
            <w:r w:rsidR="009E465F" w:rsidRPr="0087533D">
              <w:t xml:space="preserve">de </w:t>
            </w:r>
            <w:r w:rsidR="00051089" w:rsidRPr="0087533D">
              <w:t>ledsage</w:t>
            </w:r>
            <w:r w:rsidRPr="0087533D">
              <w:t>manifestation</w:t>
            </w:r>
            <w:r w:rsidR="009E465F" w:rsidRPr="0087533D">
              <w:t>er</w:t>
            </w:r>
            <w:r w:rsidRPr="0087533D">
              <w:t xml:space="preserve"> </w:t>
            </w:r>
            <w:r w:rsidR="009E465F" w:rsidRPr="0087533D">
              <w:t xml:space="preserve">typisk </w:t>
            </w:r>
            <w:r w:rsidRPr="0087533D">
              <w:t>for mistænkt</w:t>
            </w:r>
            <w:r w:rsidR="00051089" w:rsidRPr="0087533D">
              <w:t xml:space="preserve"> PID</w:t>
            </w:r>
            <w:r w:rsidRPr="0087533D">
              <w:t>.</w:t>
            </w:r>
          </w:p>
        </w:tc>
        <w:tc>
          <w:tcPr>
            <w:tcW w:w="1134" w:type="dxa"/>
          </w:tcPr>
          <w:p w14:paraId="655C9E9F" w14:textId="77777777" w:rsidR="00D57983" w:rsidRPr="0087533D" w:rsidRDefault="00D57983" w:rsidP="00874369">
            <w:pPr>
              <w:jc w:val="center"/>
            </w:pPr>
            <w:r w:rsidRPr="0087533D">
              <w:t>Ja</w:t>
            </w:r>
          </w:p>
        </w:tc>
        <w:tc>
          <w:tcPr>
            <w:tcW w:w="1099" w:type="dxa"/>
          </w:tcPr>
          <w:p w14:paraId="2D3E36F8" w14:textId="77777777" w:rsidR="00D57983" w:rsidRPr="0087533D" w:rsidRDefault="00D57983" w:rsidP="00874369">
            <w:pPr>
              <w:jc w:val="center"/>
            </w:pPr>
            <w:r w:rsidRPr="0087533D">
              <w:t>Ja</w:t>
            </w:r>
          </w:p>
        </w:tc>
      </w:tr>
      <w:tr w:rsidR="00D57983" w:rsidRPr="0087533D" w14:paraId="5C145B56" w14:textId="77777777" w:rsidTr="00D57983">
        <w:tc>
          <w:tcPr>
            <w:tcW w:w="1443" w:type="dxa"/>
          </w:tcPr>
          <w:p w14:paraId="23C3DF2F" w14:textId="77777777" w:rsidR="00D57983" w:rsidRPr="0087533D" w:rsidRDefault="00D57983" w:rsidP="00E85886">
            <w:pPr>
              <w:jc w:val="both"/>
            </w:pPr>
            <w:r w:rsidRPr="0087533D">
              <w:t>Påvist</w:t>
            </w:r>
          </w:p>
        </w:tc>
        <w:tc>
          <w:tcPr>
            <w:tcW w:w="6178" w:type="dxa"/>
          </w:tcPr>
          <w:p w14:paraId="2C55CD51" w14:textId="77777777" w:rsidR="00D57983" w:rsidRPr="0087533D" w:rsidRDefault="00874369" w:rsidP="00E85886">
            <w:pPr>
              <w:jc w:val="both"/>
            </w:pPr>
            <w:r w:rsidRPr="0087533D">
              <w:t xml:space="preserve">Genetisk påvist variant(er) </w:t>
            </w:r>
          </w:p>
        </w:tc>
        <w:tc>
          <w:tcPr>
            <w:tcW w:w="1134" w:type="dxa"/>
          </w:tcPr>
          <w:p w14:paraId="72B25B96" w14:textId="77777777" w:rsidR="00D57983" w:rsidRPr="0087533D" w:rsidRDefault="00874369" w:rsidP="00874369">
            <w:pPr>
              <w:jc w:val="center"/>
            </w:pPr>
            <w:r w:rsidRPr="0087533D">
              <w:t>Evt.</w:t>
            </w:r>
          </w:p>
        </w:tc>
        <w:tc>
          <w:tcPr>
            <w:tcW w:w="1099" w:type="dxa"/>
          </w:tcPr>
          <w:p w14:paraId="3F708E6A" w14:textId="77777777" w:rsidR="00D57983" w:rsidRPr="0087533D" w:rsidRDefault="00874369" w:rsidP="00874369">
            <w:pPr>
              <w:jc w:val="center"/>
            </w:pPr>
            <w:r w:rsidRPr="0087533D">
              <w:t>Evt.</w:t>
            </w:r>
          </w:p>
        </w:tc>
      </w:tr>
    </w:tbl>
    <w:p w14:paraId="1400E27D" w14:textId="77777777" w:rsidR="004D0DC2" w:rsidRPr="0087533D" w:rsidRDefault="004D0DC2" w:rsidP="00E85886">
      <w:pPr>
        <w:jc w:val="both"/>
      </w:pPr>
    </w:p>
    <w:p w14:paraId="00FD8CA3" w14:textId="77777777" w:rsidR="008D50C8" w:rsidRPr="0087533D" w:rsidRDefault="008D50C8">
      <w:r w:rsidRPr="0087533D">
        <w:br w:type="page"/>
      </w:r>
    </w:p>
    <w:p w14:paraId="1A08F7AC" w14:textId="77777777" w:rsidR="004D0DC2" w:rsidRPr="0087533D" w:rsidRDefault="002D596C" w:rsidP="00E85886">
      <w:pPr>
        <w:jc w:val="both"/>
        <w:rPr>
          <w:b/>
          <w:sz w:val="28"/>
          <w:szCs w:val="28"/>
          <w:u w:val="single"/>
        </w:rPr>
      </w:pPr>
      <w:r w:rsidRPr="0087533D">
        <w:rPr>
          <w:b/>
          <w:sz w:val="28"/>
          <w:szCs w:val="28"/>
          <w:u w:val="single"/>
        </w:rPr>
        <w:lastRenderedPageBreak/>
        <w:t>PID</w:t>
      </w:r>
      <w:r w:rsidR="001126D9" w:rsidRPr="0087533D">
        <w:rPr>
          <w:b/>
          <w:sz w:val="28"/>
          <w:szCs w:val="28"/>
          <w:u w:val="single"/>
        </w:rPr>
        <w:t xml:space="preserve"> med</w:t>
      </w:r>
      <w:r w:rsidR="00B03963" w:rsidRPr="0087533D">
        <w:rPr>
          <w:b/>
          <w:sz w:val="28"/>
          <w:szCs w:val="28"/>
          <w:u w:val="single"/>
        </w:rPr>
        <w:t xml:space="preserve"> ø</w:t>
      </w:r>
      <w:r w:rsidR="004D0DC2" w:rsidRPr="0087533D">
        <w:rPr>
          <w:b/>
          <w:sz w:val="28"/>
          <w:szCs w:val="28"/>
          <w:u w:val="single"/>
        </w:rPr>
        <w:t>get infektionstendens.</w:t>
      </w:r>
    </w:p>
    <w:p w14:paraId="65124CA3" w14:textId="32569E76" w:rsidR="00B24D37" w:rsidRPr="0087533D" w:rsidRDefault="004D0DC2" w:rsidP="00AD3C41">
      <w:pPr>
        <w:jc w:val="both"/>
      </w:pPr>
      <w:r w:rsidRPr="0087533D">
        <w:t xml:space="preserve">Der forstås </w:t>
      </w:r>
      <w:r w:rsidR="003E580F" w:rsidRPr="0087533D">
        <w:t>person med øget infektionstendens uden oplagt forklarende sekundær immundefekt</w:t>
      </w:r>
      <w:r w:rsidR="005C409F" w:rsidRPr="0087533D">
        <w:t xml:space="preserve">. </w:t>
      </w:r>
      <w:r w:rsidR="00541EFB" w:rsidRPr="0087533D">
        <w:t xml:space="preserve">Dette bør være vurderet </w:t>
      </w:r>
      <w:r w:rsidR="00B24D37" w:rsidRPr="0087533D">
        <w:t xml:space="preserve">af infektionsmediciner/-pædiater, subspecialiseret i primær immundefekt, inden </w:t>
      </w:r>
      <w:r w:rsidR="00541EFB" w:rsidRPr="0087533D">
        <w:t xml:space="preserve">patienten </w:t>
      </w:r>
      <w:r w:rsidR="00B24D37" w:rsidRPr="0087533D">
        <w:t>henvis</w:t>
      </w:r>
      <w:r w:rsidR="00541EFB" w:rsidRPr="0087533D">
        <w:t>es</w:t>
      </w:r>
      <w:r w:rsidR="00B24D37" w:rsidRPr="0087533D">
        <w:t xml:space="preserve"> til </w:t>
      </w:r>
      <w:r w:rsidR="004E7874" w:rsidRPr="0087533D">
        <w:t xml:space="preserve">Immunologisk afdeling. </w:t>
      </w:r>
      <w:r w:rsidR="00541EFB" w:rsidRPr="0087533D">
        <w:t xml:space="preserve">Ved henvisning </w:t>
      </w:r>
      <w:r w:rsidR="004E7874" w:rsidRPr="0087533D">
        <w:t xml:space="preserve">bør </w:t>
      </w:r>
      <w:r w:rsidR="00541EFB" w:rsidRPr="0087533D">
        <w:t xml:space="preserve">der </w:t>
      </w:r>
      <w:r w:rsidR="004E7874" w:rsidRPr="0087533D">
        <w:t xml:space="preserve">foreligge nylig resultater for koncentrationer af plasma immunglobuliner (IgA, IgM, </w:t>
      </w:r>
      <w:r w:rsidR="00784443" w:rsidRPr="0087533D">
        <w:t>o</w:t>
      </w:r>
      <w:r w:rsidR="004E7874" w:rsidRPr="0087533D">
        <w:t>g IgG inklusiv sub</w:t>
      </w:r>
      <w:r w:rsidR="00342C03" w:rsidRPr="0087533D">
        <w:t>klasser</w:t>
      </w:r>
      <w:r w:rsidR="00784443" w:rsidRPr="0087533D">
        <w:t xml:space="preserve"> samt evt. IgE</w:t>
      </w:r>
      <w:r w:rsidR="004E7874" w:rsidRPr="0087533D">
        <w:t>)</w:t>
      </w:r>
      <w:r w:rsidR="00AD3C41" w:rsidRPr="0087533D">
        <w:t xml:space="preserve"> </w:t>
      </w:r>
      <w:r w:rsidR="004E7874" w:rsidRPr="0087533D">
        <w:t>og perifere leukocytsubtyper (lymfocytter, monocytter, neutrofile, basofile og eosinofile).</w:t>
      </w:r>
      <w:r w:rsidR="00AD3C41" w:rsidRPr="0087533D">
        <w:t xml:space="preserve"> Evt. måling af antistoffer mod modtagne vacciner</w:t>
      </w:r>
    </w:p>
    <w:p w14:paraId="0A12F5AD" w14:textId="6A91D464" w:rsidR="00DA71E8" w:rsidRPr="0087533D" w:rsidRDefault="00B03963" w:rsidP="00541EFB">
      <w:pPr>
        <w:pStyle w:val="Brdtekst2"/>
      </w:pPr>
      <w:r w:rsidRPr="0087533D">
        <w:t>K</w:t>
      </w:r>
      <w:r w:rsidR="00843AB1" w:rsidRPr="0087533D">
        <w:t xml:space="preserve">linisk immunologisk afdeling </w:t>
      </w:r>
      <w:r w:rsidR="00342C03" w:rsidRPr="0087533D">
        <w:t>vurderer</w:t>
      </w:r>
      <w:r w:rsidRPr="0087533D">
        <w:t xml:space="preserve"> at </w:t>
      </w:r>
      <w:r w:rsidR="008E6CB1" w:rsidRPr="0087533D">
        <w:t xml:space="preserve">der foreligger </w:t>
      </w:r>
      <w:r w:rsidR="00843AB1" w:rsidRPr="0087533D">
        <w:t xml:space="preserve">øget infektionstendens </w:t>
      </w:r>
      <w:r w:rsidRPr="0087533D">
        <w:t>som ikke oplagt er forklaret ved sekundær immundefekt.</w:t>
      </w:r>
      <w:r w:rsidR="00DA71E8" w:rsidRPr="0087533D">
        <w:t xml:space="preserve"> </w:t>
      </w:r>
      <w:r w:rsidRPr="0087533D">
        <w:t xml:space="preserve">Vurderingen foregår </w:t>
      </w:r>
      <w:r w:rsidR="005C409F" w:rsidRPr="0087533D">
        <w:t xml:space="preserve">på baggrund </w:t>
      </w:r>
      <w:r w:rsidR="00541EFB" w:rsidRPr="0087533D">
        <w:t xml:space="preserve">af foreliggende journalmateriale, henvisning og evt. ambulant gennemgang. </w:t>
      </w:r>
      <w:r w:rsidR="00DA71E8" w:rsidRPr="0087533D">
        <w:t>Der skelnes mellem dokumenterede infektioner og rene anamnestiske infektioner</w:t>
      </w:r>
      <w:r w:rsidR="00342C03" w:rsidRPr="0087533D">
        <w:t xml:space="preserve"> (evt. infektionsdagbog)</w:t>
      </w:r>
      <w:r w:rsidR="00DA71E8" w:rsidRPr="0087533D">
        <w:t>.</w:t>
      </w:r>
      <w:r w:rsidR="00AF2B10" w:rsidRPr="0087533D">
        <w:t xml:space="preserve"> </w:t>
      </w:r>
    </w:p>
    <w:p w14:paraId="1467B196" w14:textId="77777777" w:rsidR="004477F0" w:rsidRPr="0087533D" w:rsidRDefault="004477F0" w:rsidP="00541EFB">
      <w:pPr>
        <w:pStyle w:val="Brdtekst2"/>
        <w:rPr>
          <w:b/>
        </w:rPr>
      </w:pPr>
    </w:p>
    <w:p w14:paraId="691482C2" w14:textId="77777777" w:rsidR="004477F0" w:rsidRPr="0087533D" w:rsidRDefault="008D50C8" w:rsidP="00541EFB">
      <w:pPr>
        <w:pStyle w:val="Brdtekst2"/>
        <w:rPr>
          <w:u w:val="single"/>
        </w:rPr>
      </w:pPr>
      <w:r w:rsidRPr="0087533D">
        <w:rPr>
          <w:b/>
          <w:u w:val="single"/>
        </w:rPr>
        <w:t>Screening</w:t>
      </w:r>
      <w:r w:rsidR="004477F0" w:rsidRPr="0087533D">
        <w:rPr>
          <w:b/>
          <w:u w:val="single"/>
        </w:rPr>
        <w:t>:</w:t>
      </w:r>
      <w:r w:rsidRPr="0087533D">
        <w:rPr>
          <w:u w:val="single"/>
        </w:rPr>
        <w:t xml:space="preserve"> </w:t>
      </w:r>
    </w:p>
    <w:p w14:paraId="52E94051" w14:textId="77777777" w:rsidR="004D0DDC" w:rsidRPr="0087533D" w:rsidRDefault="004477F0" w:rsidP="00541EFB">
      <w:pPr>
        <w:pStyle w:val="Brdtekst2"/>
      </w:pPr>
      <w:r w:rsidRPr="0087533D">
        <w:t>F</w:t>
      </w:r>
      <w:r w:rsidR="008D50C8" w:rsidRPr="0087533D">
        <w:t xml:space="preserve">oretages </w:t>
      </w:r>
      <w:r w:rsidRPr="0087533D">
        <w:t>med</w:t>
      </w:r>
      <w:r w:rsidR="008D50C8" w:rsidRPr="0087533D">
        <w:t xml:space="preserve"> udgangspunkt </w:t>
      </w:r>
      <w:r w:rsidRPr="0087533D">
        <w:t>i infektionsarten</w:t>
      </w:r>
      <w:r w:rsidR="008D50C8" w:rsidRPr="0087533D">
        <w:t>:</w:t>
      </w:r>
    </w:p>
    <w:tbl>
      <w:tblPr>
        <w:tblStyle w:val="Tabel-Gitter"/>
        <w:tblW w:w="0" w:type="auto"/>
        <w:tblCellMar>
          <w:left w:w="30" w:type="dxa"/>
          <w:right w:w="30" w:type="dxa"/>
        </w:tblCellMar>
        <w:tblLook w:val="04A0" w:firstRow="1" w:lastRow="0" w:firstColumn="1" w:lastColumn="0" w:noHBand="0" w:noVBand="1"/>
      </w:tblPr>
      <w:tblGrid>
        <w:gridCol w:w="2330"/>
        <w:gridCol w:w="1091"/>
        <w:gridCol w:w="1241"/>
        <w:gridCol w:w="1182"/>
        <w:gridCol w:w="1045"/>
        <w:gridCol w:w="1045"/>
        <w:gridCol w:w="1045"/>
      </w:tblGrid>
      <w:tr w:rsidR="00AD6FC4" w:rsidRPr="0087533D" w14:paraId="78AD51B1" w14:textId="77777777" w:rsidTr="00AD6FC4">
        <w:tc>
          <w:tcPr>
            <w:tcW w:w="2330" w:type="dxa"/>
          </w:tcPr>
          <w:p w14:paraId="59553638" w14:textId="77777777" w:rsidR="00AD6FC4" w:rsidRPr="0087533D" w:rsidRDefault="00AD6FC4"/>
        </w:tc>
        <w:tc>
          <w:tcPr>
            <w:tcW w:w="1091" w:type="dxa"/>
          </w:tcPr>
          <w:p w14:paraId="350DF788" w14:textId="77777777" w:rsidR="00AD6FC4" w:rsidRPr="0087533D" w:rsidRDefault="00AD6FC4"/>
        </w:tc>
        <w:tc>
          <w:tcPr>
            <w:tcW w:w="1241" w:type="dxa"/>
          </w:tcPr>
          <w:p w14:paraId="73DDF98A" w14:textId="77777777" w:rsidR="00AD6FC4" w:rsidRPr="0087533D" w:rsidRDefault="00AD6FC4"/>
        </w:tc>
        <w:tc>
          <w:tcPr>
            <w:tcW w:w="1182" w:type="dxa"/>
          </w:tcPr>
          <w:p w14:paraId="25BB1ADF" w14:textId="77777777" w:rsidR="00AD6FC4" w:rsidRPr="0087533D" w:rsidRDefault="00AD6FC4"/>
        </w:tc>
        <w:tc>
          <w:tcPr>
            <w:tcW w:w="1045" w:type="dxa"/>
          </w:tcPr>
          <w:p w14:paraId="16029AAE" w14:textId="77777777" w:rsidR="00AD6FC4" w:rsidRPr="0087533D" w:rsidRDefault="00AD6FC4"/>
        </w:tc>
        <w:tc>
          <w:tcPr>
            <w:tcW w:w="1045" w:type="dxa"/>
          </w:tcPr>
          <w:p w14:paraId="7CF4CB7E" w14:textId="77777777" w:rsidR="00AD6FC4" w:rsidRPr="0087533D" w:rsidRDefault="00AD6FC4"/>
        </w:tc>
        <w:tc>
          <w:tcPr>
            <w:tcW w:w="1045" w:type="dxa"/>
          </w:tcPr>
          <w:p w14:paraId="562F8926" w14:textId="77777777" w:rsidR="00AD6FC4" w:rsidRPr="0087533D" w:rsidRDefault="00AD6FC4"/>
        </w:tc>
      </w:tr>
      <w:tr w:rsidR="00AD6FC4" w:rsidRPr="0087533D" w14:paraId="3FEA3915" w14:textId="77777777" w:rsidTr="00AD6FC4">
        <w:tc>
          <w:tcPr>
            <w:tcW w:w="2330" w:type="dxa"/>
          </w:tcPr>
          <w:p w14:paraId="2C23D9CE" w14:textId="77777777" w:rsidR="00AD6FC4" w:rsidRPr="0087533D" w:rsidRDefault="00AD6FC4">
            <w:r w:rsidRPr="0087533D">
              <w:t>Analyse</w:t>
            </w:r>
          </w:p>
        </w:tc>
        <w:tc>
          <w:tcPr>
            <w:tcW w:w="1091" w:type="dxa"/>
          </w:tcPr>
          <w:p w14:paraId="766779E4" w14:textId="77777777" w:rsidR="00AD6FC4" w:rsidRPr="0087533D" w:rsidRDefault="00AD6FC4" w:rsidP="001B5290">
            <w:pPr>
              <w:jc w:val="center"/>
            </w:pPr>
            <w:r w:rsidRPr="0087533D">
              <w:t>Pneumoni</w:t>
            </w:r>
          </w:p>
        </w:tc>
        <w:tc>
          <w:tcPr>
            <w:tcW w:w="1241" w:type="dxa"/>
          </w:tcPr>
          <w:p w14:paraId="7ABC19A9" w14:textId="77777777" w:rsidR="00AD6FC4" w:rsidRPr="0087533D" w:rsidRDefault="00AD6FC4" w:rsidP="001B5290">
            <w:pPr>
              <w:jc w:val="center"/>
            </w:pPr>
            <w:r w:rsidRPr="0087533D">
              <w:t>Øvre luftvejs-</w:t>
            </w:r>
          </w:p>
          <w:p w14:paraId="1D314FB9" w14:textId="77777777" w:rsidR="00AD6FC4" w:rsidRPr="0087533D" w:rsidRDefault="00AD6FC4" w:rsidP="001B5290">
            <w:pPr>
              <w:jc w:val="center"/>
            </w:pPr>
            <w:r w:rsidRPr="0087533D">
              <w:t>infektioner</w:t>
            </w:r>
          </w:p>
        </w:tc>
        <w:tc>
          <w:tcPr>
            <w:tcW w:w="1182" w:type="dxa"/>
          </w:tcPr>
          <w:p w14:paraId="07CC3245" w14:textId="77777777" w:rsidR="00AD6FC4" w:rsidRPr="0087533D" w:rsidRDefault="00AD6FC4" w:rsidP="001B5290">
            <w:pPr>
              <w:jc w:val="center"/>
            </w:pPr>
            <w:r w:rsidRPr="0087533D">
              <w:t>Abscesser</w:t>
            </w:r>
          </w:p>
        </w:tc>
        <w:tc>
          <w:tcPr>
            <w:tcW w:w="1045" w:type="dxa"/>
          </w:tcPr>
          <w:p w14:paraId="3FB12E2C" w14:textId="77777777" w:rsidR="00AD6FC4" w:rsidRPr="0087533D" w:rsidRDefault="00AD6FC4" w:rsidP="001B5290">
            <w:pPr>
              <w:jc w:val="center"/>
            </w:pPr>
            <w:r w:rsidRPr="0087533D">
              <w:t>Svære virale infektioner</w:t>
            </w:r>
          </w:p>
        </w:tc>
        <w:tc>
          <w:tcPr>
            <w:tcW w:w="1045" w:type="dxa"/>
          </w:tcPr>
          <w:p w14:paraId="0B45352A" w14:textId="77777777" w:rsidR="00AD6FC4" w:rsidRPr="0087533D" w:rsidRDefault="00AD6FC4" w:rsidP="001B5290">
            <w:pPr>
              <w:jc w:val="center"/>
            </w:pPr>
            <w:r w:rsidRPr="0087533D">
              <w:t>Invasive bakterielle infektioner</w:t>
            </w:r>
          </w:p>
        </w:tc>
        <w:tc>
          <w:tcPr>
            <w:tcW w:w="1045" w:type="dxa"/>
          </w:tcPr>
          <w:p w14:paraId="7915444D" w14:textId="554E877F" w:rsidR="00AD6FC4" w:rsidRPr="0087533D" w:rsidRDefault="00AD6FC4" w:rsidP="00342C03">
            <w:pPr>
              <w:jc w:val="center"/>
            </w:pPr>
            <w:r w:rsidRPr="0087533D">
              <w:t>Svampe</w:t>
            </w:r>
            <w:r w:rsidR="00342C03" w:rsidRPr="0087533D">
              <w:t>-</w:t>
            </w:r>
            <w:r w:rsidRPr="0087533D">
              <w:t>infektioner</w:t>
            </w:r>
          </w:p>
        </w:tc>
      </w:tr>
      <w:tr w:rsidR="00AD6FC4" w:rsidRPr="0087533D" w14:paraId="31C6A10B" w14:textId="77777777" w:rsidTr="00AD6FC4">
        <w:tc>
          <w:tcPr>
            <w:tcW w:w="2330" w:type="dxa"/>
          </w:tcPr>
          <w:p w14:paraId="179C9EE4" w14:textId="77777777" w:rsidR="00AD6FC4" w:rsidRPr="0087533D" w:rsidRDefault="00AD6FC4">
            <w:r w:rsidRPr="0087533D">
              <w:t>Vaccinationsforsøg</w:t>
            </w:r>
          </w:p>
        </w:tc>
        <w:tc>
          <w:tcPr>
            <w:tcW w:w="1091" w:type="dxa"/>
          </w:tcPr>
          <w:p w14:paraId="6E885682" w14:textId="77777777" w:rsidR="00AD6FC4" w:rsidRPr="0087533D" w:rsidRDefault="00AD6FC4" w:rsidP="001B5290">
            <w:pPr>
              <w:jc w:val="center"/>
            </w:pPr>
            <w:r w:rsidRPr="0087533D">
              <w:t>X</w:t>
            </w:r>
          </w:p>
        </w:tc>
        <w:tc>
          <w:tcPr>
            <w:tcW w:w="1241" w:type="dxa"/>
          </w:tcPr>
          <w:p w14:paraId="7F6BB694" w14:textId="77777777" w:rsidR="00AD6FC4" w:rsidRPr="0087533D" w:rsidRDefault="00AD6FC4" w:rsidP="001B5290">
            <w:pPr>
              <w:jc w:val="center"/>
            </w:pPr>
            <w:r w:rsidRPr="0087533D">
              <w:t>X</w:t>
            </w:r>
          </w:p>
        </w:tc>
        <w:tc>
          <w:tcPr>
            <w:tcW w:w="1182" w:type="dxa"/>
          </w:tcPr>
          <w:p w14:paraId="6248479F" w14:textId="77777777" w:rsidR="00AD6FC4" w:rsidRPr="0087533D" w:rsidRDefault="00AD6FC4" w:rsidP="001B5290">
            <w:pPr>
              <w:jc w:val="center"/>
            </w:pPr>
          </w:p>
        </w:tc>
        <w:tc>
          <w:tcPr>
            <w:tcW w:w="1045" w:type="dxa"/>
          </w:tcPr>
          <w:p w14:paraId="09F08258" w14:textId="77777777" w:rsidR="00AD6FC4" w:rsidRPr="0087533D" w:rsidRDefault="00AD6FC4" w:rsidP="001B5290">
            <w:pPr>
              <w:jc w:val="center"/>
            </w:pPr>
          </w:p>
        </w:tc>
        <w:tc>
          <w:tcPr>
            <w:tcW w:w="1045" w:type="dxa"/>
          </w:tcPr>
          <w:p w14:paraId="6AC52CCD" w14:textId="77777777" w:rsidR="00AD6FC4" w:rsidRPr="0087533D" w:rsidRDefault="00AD6FC4" w:rsidP="001B5290">
            <w:pPr>
              <w:jc w:val="center"/>
            </w:pPr>
            <w:r w:rsidRPr="0087533D">
              <w:t>X</w:t>
            </w:r>
          </w:p>
        </w:tc>
        <w:tc>
          <w:tcPr>
            <w:tcW w:w="1045" w:type="dxa"/>
          </w:tcPr>
          <w:p w14:paraId="2954B593" w14:textId="77777777" w:rsidR="00AD6FC4" w:rsidRPr="0087533D" w:rsidRDefault="00AD6FC4" w:rsidP="001B5290">
            <w:pPr>
              <w:jc w:val="center"/>
            </w:pPr>
          </w:p>
        </w:tc>
      </w:tr>
      <w:tr w:rsidR="00AD6FC4" w:rsidRPr="0087533D" w14:paraId="15279496" w14:textId="77777777" w:rsidTr="00AD6FC4">
        <w:tc>
          <w:tcPr>
            <w:tcW w:w="2330" w:type="dxa"/>
          </w:tcPr>
          <w:p w14:paraId="2C1CF844" w14:textId="77777777" w:rsidR="00AD6FC4" w:rsidRPr="0087533D" w:rsidRDefault="00AD6FC4">
            <w:r w:rsidRPr="0087533D">
              <w:t>Komplementaktivering</w:t>
            </w:r>
          </w:p>
        </w:tc>
        <w:tc>
          <w:tcPr>
            <w:tcW w:w="1091" w:type="dxa"/>
          </w:tcPr>
          <w:p w14:paraId="6E6D174D" w14:textId="77777777" w:rsidR="00AD6FC4" w:rsidRPr="0087533D" w:rsidRDefault="00AD6FC4" w:rsidP="001B5290">
            <w:pPr>
              <w:jc w:val="center"/>
            </w:pPr>
            <w:r w:rsidRPr="0087533D">
              <w:t>X</w:t>
            </w:r>
          </w:p>
        </w:tc>
        <w:tc>
          <w:tcPr>
            <w:tcW w:w="1241" w:type="dxa"/>
          </w:tcPr>
          <w:p w14:paraId="6A23D391" w14:textId="77777777" w:rsidR="00AD6FC4" w:rsidRPr="0087533D" w:rsidRDefault="00AD6FC4" w:rsidP="001B5290">
            <w:pPr>
              <w:jc w:val="center"/>
            </w:pPr>
            <w:r w:rsidRPr="0087533D">
              <w:t>X</w:t>
            </w:r>
          </w:p>
        </w:tc>
        <w:tc>
          <w:tcPr>
            <w:tcW w:w="1182" w:type="dxa"/>
          </w:tcPr>
          <w:p w14:paraId="7B783F68" w14:textId="77777777" w:rsidR="00AD6FC4" w:rsidRPr="0087533D" w:rsidRDefault="00AD6FC4" w:rsidP="001B5290">
            <w:pPr>
              <w:jc w:val="center"/>
            </w:pPr>
          </w:p>
        </w:tc>
        <w:tc>
          <w:tcPr>
            <w:tcW w:w="1045" w:type="dxa"/>
          </w:tcPr>
          <w:p w14:paraId="4F2581E6" w14:textId="77777777" w:rsidR="00AD6FC4" w:rsidRPr="0087533D" w:rsidRDefault="00AD6FC4" w:rsidP="001B5290">
            <w:pPr>
              <w:jc w:val="center"/>
            </w:pPr>
          </w:p>
        </w:tc>
        <w:tc>
          <w:tcPr>
            <w:tcW w:w="1045" w:type="dxa"/>
          </w:tcPr>
          <w:p w14:paraId="6CF53DFA" w14:textId="77777777" w:rsidR="00AD6FC4" w:rsidRPr="0087533D" w:rsidRDefault="00AD6FC4" w:rsidP="001B5290">
            <w:pPr>
              <w:jc w:val="center"/>
            </w:pPr>
            <w:r w:rsidRPr="0087533D">
              <w:t>X</w:t>
            </w:r>
          </w:p>
        </w:tc>
        <w:tc>
          <w:tcPr>
            <w:tcW w:w="1045" w:type="dxa"/>
          </w:tcPr>
          <w:p w14:paraId="17578F77" w14:textId="77777777" w:rsidR="00AD6FC4" w:rsidRPr="0087533D" w:rsidRDefault="00AD6FC4" w:rsidP="001B5290">
            <w:pPr>
              <w:jc w:val="center"/>
            </w:pPr>
          </w:p>
        </w:tc>
      </w:tr>
      <w:tr w:rsidR="00AD6FC4" w:rsidRPr="0087533D" w14:paraId="11A74E23" w14:textId="77777777" w:rsidTr="00AD6FC4">
        <w:tc>
          <w:tcPr>
            <w:tcW w:w="2330" w:type="dxa"/>
          </w:tcPr>
          <w:p w14:paraId="2A7BF57E" w14:textId="77777777" w:rsidR="00AD6FC4" w:rsidRPr="0087533D" w:rsidRDefault="00AD6FC4">
            <w:r w:rsidRPr="0087533D">
              <w:t>Lymfocytfænotypering</w:t>
            </w:r>
          </w:p>
        </w:tc>
        <w:tc>
          <w:tcPr>
            <w:tcW w:w="1091" w:type="dxa"/>
          </w:tcPr>
          <w:p w14:paraId="7085A2AF" w14:textId="77777777" w:rsidR="00AD6FC4" w:rsidRPr="0087533D" w:rsidRDefault="00AD6FC4" w:rsidP="001B5290">
            <w:pPr>
              <w:jc w:val="center"/>
            </w:pPr>
            <w:r w:rsidRPr="0087533D">
              <w:t>X</w:t>
            </w:r>
          </w:p>
        </w:tc>
        <w:tc>
          <w:tcPr>
            <w:tcW w:w="1241" w:type="dxa"/>
          </w:tcPr>
          <w:p w14:paraId="51BF1174" w14:textId="77777777" w:rsidR="00AD6FC4" w:rsidRPr="0087533D" w:rsidRDefault="00AD6FC4" w:rsidP="001B5290">
            <w:pPr>
              <w:jc w:val="center"/>
            </w:pPr>
            <w:r w:rsidRPr="0087533D">
              <w:t>X</w:t>
            </w:r>
          </w:p>
        </w:tc>
        <w:tc>
          <w:tcPr>
            <w:tcW w:w="1182" w:type="dxa"/>
          </w:tcPr>
          <w:p w14:paraId="2A0D6EFA" w14:textId="77777777" w:rsidR="00AD6FC4" w:rsidRPr="0087533D" w:rsidRDefault="00AD6FC4" w:rsidP="001B5290">
            <w:pPr>
              <w:jc w:val="center"/>
            </w:pPr>
            <w:r w:rsidRPr="0087533D">
              <w:t>X</w:t>
            </w:r>
          </w:p>
        </w:tc>
        <w:tc>
          <w:tcPr>
            <w:tcW w:w="1045" w:type="dxa"/>
          </w:tcPr>
          <w:p w14:paraId="60672C82" w14:textId="77777777" w:rsidR="00AD6FC4" w:rsidRPr="0087533D" w:rsidRDefault="00AD6FC4" w:rsidP="001B5290">
            <w:pPr>
              <w:jc w:val="center"/>
            </w:pPr>
            <w:r w:rsidRPr="0087533D">
              <w:t>X</w:t>
            </w:r>
          </w:p>
        </w:tc>
        <w:tc>
          <w:tcPr>
            <w:tcW w:w="1045" w:type="dxa"/>
          </w:tcPr>
          <w:p w14:paraId="71236033" w14:textId="77777777" w:rsidR="00AD6FC4" w:rsidRPr="0087533D" w:rsidRDefault="00AD6FC4" w:rsidP="001B5290">
            <w:pPr>
              <w:jc w:val="center"/>
            </w:pPr>
            <w:r w:rsidRPr="0087533D">
              <w:t>X</w:t>
            </w:r>
          </w:p>
        </w:tc>
        <w:tc>
          <w:tcPr>
            <w:tcW w:w="1045" w:type="dxa"/>
          </w:tcPr>
          <w:p w14:paraId="752E70B9" w14:textId="77777777" w:rsidR="00AD6FC4" w:rsidRPr="0087533D" w:rsidRDefault="00AD6FC4" w:rsidP="001B5290">
            <w:pPr>
              <w:jc w:val="center"/>
            </w:pPr>
            <w:r w:rsidRPr="0087533D">
              <w:t>X</w:t>
            </w:r>
          </w:p>
        </w:tc>
      </w:tr>
      <w:tr w:rsidR="00AD6FC4" w:rsidRPr="0087533D" w14:paraId="4CBE95F9" w14:textId="77777777" w:rsidTr="00AD6FC4">
        <w:tc>
          <w:tcPr>
            <w:tcW w:w="2330" w:type="dxa"/>
          </w:tcPr>
          <w:p w14:paraId="5A6D61F7" w14:textId="77777777" w:rsidR="00AD6FC4" w:rsidRPr="0087533D" w:rsidRDefault="00AD6FC4">
            <w:r w:rsidRPr="0087533D">
              <w:t>Lymfocytproliferation</w:t>
            </w:r>
          </w:p>
        </w:tc>
        <w:tc>
          <w:tcPr>
            <w:tcW w:w="1091" w:type="dxa"/>
          </w:tcPr>
          <w:p w14:paraId="315424FC" w14:textId="77777777" w:rsidR="00AD6FC4" w:rsidRPr="0087533D" w:rsidRDefault="00AD6FC4" w:rsidP="001B5290">
            <w:pPr>
              <w:jc w:val="center"/>
              <w:rPr>
                <w:vertAlign w:val="superscript"/>
              </w:rPr>
            </w:pPr>
            <w:r w:rsidRPr="0087533D">
              <w:t>X</w:t>
            </w:r>
            <w:r w:rsidRPr="0087533D">
              <w:rPr>
                <w:vertAlign w:val="superscript"/>
              </w:rPr>
              <w:t>1</w:t>
            </w:r>
          </w:p>
        </w:tc>
        <w:tc>
          <w:tcPr>
            <w:tcW w:w="1241" w:type="dxa"/>
          </w:tcPr>
          <w:p w14:paraId="041BB2BD" w14:textId="77777777" w:rsidR="00AD6FC4" w:rsidRPr="0087533D" w:rsidRDefault="00AD6FC4" w:rsidP="001B5290">
            <w:pPr>
              <w:jc w:val="center"/>
            </w:pPr>
          </w:p>
        </w:tc>
        <w:tc>
          <w:tcPr>
            <w:tcW w:w="1182" w:type="dxa"/>
          </w:tcPr>
          <w:p w14:paraId="35A4B24F" w14:textId="77777777" w:rsidR="00AD6FC4" w:rsidRPr="0087533D" w:rsidRDefault="00AD6FC4" w:rsidP="001B5290">
            <w:pPr>
              <w:jc w:val="center"/>
            </w:pPr>
          </w:p>
        </w:tc>
        <w:tc>
          <w:tcPr>
            <w:tcW w:w="1045" w:type="dxa"/>
          </w:tcPr>
          <w:p w14:paraId="0A595CA4" w14:textId="77777777" w:rsidR="00AD6FC4" w:rsidRPr="0087533D" w:rsidRDefault="00AD6FC4" w:rsidP="001B5290">
            <w:pPr>
              <w:jc w:val="center"/>
            </w:pPr>
            <w:r w:rsidRPr="0087533D">
              <w:t>X</w:t>
            </w:r>
            <w:r w:rsidRPr="0087533D">
              <w:rPr>
                <w:vertAlign w:val="superscript"/>
              </w:rPr>
              <w:t>1</w:t>
            </w:r>
          </w:p>
        </w:tc>
        <w:tc>
          <w:tcPr>
            <w:tcW w:w="1045" w:type="dxa"/>
          </w:tcPr>
          <w:p w14:paraId="2143AE30" w14:textId="77777777" w:rsidR="00AD6FC4" w:rsidRPr="0087533D" w:rsidRDefault="00AD6FC4" w:rsidP="001B5290">
            <w:pPr>
              <w:jc w:val="center"/>
            </w:pPr>
            <w:r w:rsidRPr="0087533D">
              <w:t>X</w:t>
            </w:r>
          </w:p>
        </w:tc>
        <w:tc>
          <w:tcPr>
            <w:tcW w:w="1045" w:type="dxa"/>
          </w:tcPr>
          <w:p w14:paraId="3C7E1A2A" w14:textId="77777777" w:rsidR="00AD6FC4" w:rsidRPr="0087533D" w:rsidRDefault="00AD6FC4" w:rsidP="001B5290">
            <w:pPr>
              <w:jc w:val="center"/>
            </w:pPr>
            <w:r w:rsidRPr="0087533D">
              <w:t>X</w:t>
            </w:r>
          </w:p>
        </w:tc>
      </w:tr>
      <w:tr w:rsidR="00AD6FC4" w:rsidRPr="0087533D" w14:paraId="22A46C2E" w14:textId="77777777" w:rsidTr="00AD6FC4">
        <w:tc>
          <w:tcPr>
            <w:tcW w:w="2330" w:type="dxa"/>
          </w:tcPr>
          <w:p w14:paraId="468C4DB2" w14:textId="77777777" w:rsidR="00AD6FC4" w:rsidRPr="0087533D" w:rsidRDefault="00AD6FC4">
            <w:pPr>
              <w:rPr>
                <w:vertAlign w:val="superscript"/>
              </w:rPr>
            </w:pPr>
            <w:r w:rsidRPr="0087533D">
              <w:t>Granulocyt ROS produktion</w:t>
            </w:r>
          </w:p>
        </w:tc>
        <w:tc>
          <w:tcPr>
            <w:tcW w:w="1091" w:type="dxa"/>
          </w:tcPr>
          <w:p w14:paraId="0F8D7025" w14:textId="77777777" w:rsidR="00AD6FC4" w:rsidRPr="0087533D" w:rsidRDefault="00AD6FC4" w:rsidP="001B5290">
            <w:pPr>
              <w:jc w:val="center"/>
              <w:rPr>
                <w:vertAlign w:val="superscript"/>
              </w:rPr>
            </w:pPr>
            <w:r w:rsidRPr="0087533D">
              <w:t>X</w:t>
            </w:r>
          </w:p>
        </w:tc>
        <w:tc>
          <w:tcPr>
            <w:tcW w:w="1241" w:type="dxa"/>
          </w:tcPr>
          <w:p w14:paraId="4014040C" w14:textId="77777777" w:rsidR="00AD6FC4" w:rsidRPr="0087533D" w:rsidRDefault="00AD6FC4" w:rsidP="001B5290">
            <w:pPr>
              <w:jc w:val="center"/>
            </w:pPr>
          </w:p>
        </w:tc>
        <w:tc>
          <w:tcPr>
            <w:tcW w:w="1182" w:type="dxa"/>
          </w:tcPr>
          <w:p w14:paraId="5AEC1A92" w14:textId="77777777" w:rsidR="00AD6FC4" w:rsidRPr="0087533D" w:rsidRDefault="00AD6FC4" w:rsidP="001B5290">
            <w:pPr>
              <w:jc w:val="center"/>
            </w:pPr>
            <w:r w:rsidRPr="0087533D">
              <w:t>X</w:t>
            </w:r>
          </w:p>
        </w:tc>
        <w:tc>
          <w:tcPr>
            <w:tcW w:w="1045" w:type="dxa"/>
          </w:tcPr>
          <w:p w14:paraId="2EC4478E" w14:textId="77777777" w:rsidR="00AD6FC4" w:rsidRPr="0087533D" w:rsidRDefault="00AD6FC4" w:rsidP="001B5290">
            <w:pPr>
              <w:jc w:val="center"/>
            </w:pPr>
          </w:p>
        </w:tc>
        <w:tc>
          <w:tcPr>
            <w:tcW w:w="1045" w:type="dxa"/>
          </w:tcPr>
          <w:p w14:paraId="3AF9D75F" w14:textId="77777777" w:rsidR="00AD6FC4" w:rsidRPr="0087533D" w:rsidRDefault="00AD6FC4" w:rsidP="001B5290">
            <w:pPr>
              <w:jc w:val="center"/>
            </w:pPr>
            <w:r w:rsidRPr="0087533D">
              <w:t>X</w:t>
            </w:r>
          </w:p>
        </w:tc>
        <w:tc>
          <w:tcPr>
            <w:tcW w:w="1045" w:type="dxa"/>
          </w:tcPr>
          <w:p w14:paraId="1DC8279D" w14:textId="77777777" w:rsidR="00AD6FC4" w:rsidRPr="0087533D" w:rsidRDefault="00AD6FC4" w:rsidP="001B5290">
            <w:pPr>
              <w:jc w:val="center"/>
            </w:pPr>
            <w:r w:rsidRPr="0087533D">
              <w:t>X</w:t>
            </w:r>
          </w:p>
        </w:tc>
      </w:tr>
      <w:tr w:rsidR="004D0DDC" w:rsidRPr="0087533D" w14:paraId="0A11C800" w14:textId="77777777" w:rsidTr="00AD6FC4">
        <w:tc>
          <w:tcPr>
            <w:tcW w:w="8979" w:type="dxa"/>
            <w:gridSpan w:val="7"/>
          </w:tcPr>
          <w:p w14:paraId="18D6F8C1" w14:textId="77777777" w:rsidR="004D0DDC" w:rsidRPr="0087533D" w:rsidRDefault="008D50C8" w:rsidP="000E556B">
            <w:r w:rsidRPr="0087533D">
              <w:rPr>
                <w:vertAlign w:val="superscript"/>
              </w:rPr>
              <w:t>1</w:t>
            </w:r>
            <w:r w:rsidRPr="0087533D">
              <w:t xml:space="preserve"> </w:t>
            </w:r>
            <w:r w:rsidR="000E556B" w:rsidRPr="0087533D">
              <w:t>Symptomdebut indenfor første 5 leveår</w:t>
            </w:r>
          </w:p>
        </w:tc>
      </w:tr>
    </w:tbl>
    <w:p w14:paraId="67327134" w14:textId="77777777" w:rsidR="00541EFB" w:rsidRPr="0087533D" w:rsidRDefault="00541EFB"/>
    <w:p w14:paraId="152DC37E" w14:textId="77777777" w:rsidR="00081717" w:rsidRPr="0087533D" w:rsidRDefault="00081717" w:rsidP="00081717">
      <w:pPr>
        <w:pStyle w:val="Brdtekst"/>
      </w:pPr>
      <w:r w:rsidRPr="0087533D">
        <w:t>Vaccinationsforsøg:</w:t>
      </w:r>
    </w:p>
    <w:p w14:paraId="5FFB4B29" w14:textId="2517C0F0" w:rsidR="00DE7CDC" w:rsidRPr="0087533D" w:rsidRDefault="00213F33" w:rsidP="00081717">
      <w:pPr>
        <w:pStyle w:val="Brdtekst"/>
        <w:rPr>
          <w:b w:val="0"/>
        </w:rPr>
      </w:pPr>
      <w:r w:rsidRPr="0087533D">
        <w:rPr>
          <w:b w:val="0"/>
        </w:rPr>
        <w:t>I</w:t>
      </w:r>
      <w:r w:rsidR="001028CA" w:rsidRPr="0087533D">
        <w:rPr>
          <w:b w:val="0"/>
        </w:rPr>
        <w:t>ndikation: Recidiverende og/eller svær</w:t>
      </w:r>
      <w:r w:rsidR="00F36BF4" w:rsidRPr="0087533D">
        <w:rPr>
          <w:b w:val="0"/>
        </w:rPr>
        <w:t>e</w:t>
      </w:r>
      <w:r w:rsidR="001028CA" w:rsidRPr="0087533D">
        <w:rPr>
          <w:b w:val="0"/>
        </w:rPr>
        <w:t xml:space="preserve"> sinopulmonale infektioner. </w:t>
      </w:r>
      <w:r w:rsidR="003609DA" w:rsidRPr="0087533D">
        <w:rPr>
          <w:b w:val="0"/>
        </w:rPr>
        <w:t xml:space="preserve">Specielt ved personer mistænkt for B-celledysfunktion herunder </w:t>
      </w:r>
      <w:r w:rsidRPr="0087533D">
        <w:rPr>
          <w:b w:val="0"/>
        </w:rPr>
        <w:t>CVID diagnostik.</w:t>
      </w:r>
      <w:r w:rsidR="00C154CE" w:rsidRPr="0087533D">
        <w:rPr>
          <w:b w:val="0"/>
        </w:rPr>
        <w:t xml:space="preserve"> </w:t>
      </w:r>
    </w:p>
    <w:p w14:paraId="5EC97FB7" w14:textId="092BF0A9" w:rsidR="00BB7513" w:rsidRPr="0087533D" w:rsidRDefault="00F36BF4" w:rsidP="00BB7513">
      <w:pPr>
        <w:pStyle w:val="Brdtekst"/>
        <w:rPr>
          <w:b w:val="0"/>
        </w:rPr>
      </w:pPr>
      <w:r w:rsidRPr="0087533D">
        <w:rPr>
          <w:b w:val="0"/>
        </w:rPr>
        <w:t xml:space="preserve">Formål: Undersøge evne til antistofrespons mod vaccinekomponenter. </w:t>
      </w:r>
      <w:r w:rsidR="00DE7CDC" w:rsidRPr="0087533D">
        <w:rPr>
          <w:b w:val="0"/>
        </w:rPr>
        <w:t xml:space="preserve">Der </w:t>
      </w:r>
      <w:r w:rsidRPr="0087533D">
        <w:rPr>
          <w:b w:val="0"/>
        </w:rPr>
        <w:t xml:space="preserve">bør </w:t>
      </w:r>
      <w:r w:rsidR="003609DA" w:rsidRPr="0087533D">
        <w:rPr>
          <w:b w:val="0"/>
        </w:rPr>
        <w:t xml:space="preserve">måles </w:t>
      </w:r>
      <w:r w:rsidR="00DE7CDC" w:rsidRPr="0087533D">
        <w:rPr>
          <w:b w:val="0"/>
        </w:rPr>
        <w:t>respons mod både polysakkarid- og protein</w:t>
      </w:r>
      <w:r w:rsidRPr="0087533D">
        <w:rPr>
          <w:b w:val="0"/>
        </w:rPr>
        <w:t>baserede vacciner</w:t>
      </w:r>
      <w:r w:rsidR="00DE7CDC" w:rsidRPr="0087533D">
        <w:rPr>
          <w:b w:val="0"/>
        </w:rPr>
        <w:t xml:space="preserve">. </w:t>
      </w:r>
    </w:p>
    <w:p w14:paraId="2F3FE299" w14:textId="2DC88937" w:rsidR="00E87EEF" w:rsidRPr="0087533D" w:rsidRDefault="00F36BF4" w:rsidP="00081717">
      <w:pPr>
        <w:pStyle w:val="Brdtekst"/>
        <w:rPr>
          <w:b w:val="0"/>
        </w:rPr>
      </w:pPr>
      <w:r w:rsidRPr="0087533D">
        <w:rPr>
          <w:b w:val="0"/>
        </w:rPr>
        <w:t xml:space="preserve">Respons mod polysakkaridvacciner. </w:t>
      </w:r>
      <w:r w:rsidR="00094321" w:rsidRPr="0087533D">
        <w:rPr>
          <w:b w:val="0"/>
        </w:rPr>
        <w:t>”</w:t>
      </w:r>
      <w:r w:rsidR="00BB7513" w:rsidRPr="0087533D">
        <w:rPr>
          <w:b w:val="0"/>
          <w:i/>
        </w:rPr>
        <w:t>Polysaccharide nonresponse</w:t>
      </w:r>
      <w:r w:rsidR="00094321" w:rsidRPr="0087533D">
        <w:rPr>
          <w:b w:val="0"/>
        </w:rPr>
        <w:t>”</w:t>
      </w:r>
      <w:r w:rsidR="00BB7513" w:rsidRPr="0087533D">
        <w:rPr>
          <w:b w:val="0"/>
        </w:rPr>
        <w:t xml:space="preserve"> er blandt hyppigste fund hos personer med recidiverende og/eller svære infektioner (Javier FC, Ann Allergy Asthma Immunol. 2000)</w:t>
      </w:r>
      <w:r w:rsidRPr="0087533D">
        <w:rPr>
          <w:b w:val="0"/>
        </w:rPr>
        <w:t>. K</w:t>
      </w:r>
      <w:r w:rsidR="00BB7513" w:rsidRPr="0087533D">
        <w:rPr>
          <w:b w:val="0"/>
        </w:rPr>
        <w:t xml:space="preserve">an </w:t>
      </w:r>
      <w:r w:rsidRPr="0087533D">
        <w:rPr>
          <w:b w:val="0"/>
        </w:rPr>
        <w:t>findes</w:t>
      </w:r>
      <w:r w:rsidR="00BB7513" w:rsidRPr="0087533D">
        <w:rPr>
          <w:b w:val="0"/>
        </w:rPr>
        <w:t xml:space="preserve"> hos personer med (nær)intakt </w:t>
      </w:r>
      <w:r w:rsidR="00F97DF4" w:rsidRPr="0087533D">
        <w:rPr>
          <w:b w:val="0"/>
        </w:rPr>
        <w:t>antistof</w:t>
      </w:r>
      <w:r w:rsidRPr="0087533D">
        <w:rPr>
          <w:b w:val="0"/>
        </w:rPr>
        <w:t>respons mod protein</w:t>
      </w:r>
      <w:r w:rsidR="00BB7513" w:rsidRPr="0087533D">
        <w:rPr>
          <w:b w:val="0"/>
        </w:rPr>
        <w:t xml:space="preserve">antigener. </w:t>
      </w:r>
      <w:r w:rsidRPr="0087533D">
        <w:rPr>
          <w:b w:val="0"/>
        </w:rPr>
        <w:t>Defekten kan være isoleret</w:t>
      </w:r>
      <w:r w:rsidR="00D93401" w:rsidRPr="0087533D">
        <w:rPr>
          <w:b w:val="0"/>
        </w:rPr>
        <w:t xml:space="preserve"> </w:t>
      </w:r>
      <w:r w:rsidR="00217BA2" w:rsidRPr="0087533D">
        <w:rPr>
          <w:b w:val="0"/>
        </w:rPr>
        <w:t xml:space="preserve">eller kombineret </w:t>
      </w:r>
      <w:r w:rsidR="00F97DF4" w:rsidRPr="0087533D">
        <w:rPr>
          <w:b w:val="0"/>
        </w:rPr>
        <w:t xml:space="preserve">med </w:t>
      </w:r>
      <w:r w:rsidR="00217BA2" w:rsidRPr="0087533D">
        <w:rPr>
          <w:b w:val="0"/>
        </w:rPr>
        <w:t xml:space="preserve">yderligere antistofdefekt (IgA-deficiens, IgG2 deficiens mv). </w:t>
      </w:r>
      <w:r w:rsidR="00F97DF4" w:rsidRPr="0087533D">
        <w:rPr>
          <w:b w:val="0"/>
        </w:rPr>
        <w:t xml:space="preserve">Der </w:t>
      </w:r>
      <w:r w:rsidR="00DE7CDC" w:rsidRPr="0087533D">
        <w:rPr>
          <w:b w:val="0"/>
        </w:rPr>
        <w:t>anvendes i</w:t>
      </w:r>
      <w:r w:rsidR="00120551" w:rsidRPr="0087533D">
        <w:rPr>
          <w:b w:val="0"/>
        </w:rPr>
        <w:t>kke-protein k</w:t>
      </w:r>
      <w:r w:rsidR="00212412" w:rsidRPr="0087533D">
        <w:rPr>
          <w:b w:val="0"/>
        </w:rPr>
        <w:t>onjugeret</w:t>
      </w:r>
      <w:r w:rsidR="00120551" w:rsidRPr="0087533D">
        <w:rPr>
          <w:b w:val="0"/>
        </w:rPr>
        <w:t xml:space="preserve"> polysakkarid</w:t>
      </w:r>
      <w:r w:rsidR="00DE7CDC" w:rsidRPr="0087533D">
        <w:rPr>
          <w:b w:val="0"/>
        </w:rPr>
        <w:t>vaccine</w:t>
      </w:r>
      <w:r w:rsidR="00120551" w:rsidRPr="0087533D">
        <w:rPr>
          <w:b w:val="0"/>
        </w:rPr>
        <w:t xml:space="preserve"> (primært 23-valent pneumokok</w:t>
      </w:r>
      <w:r w:rsidR="00741C0B" w:rsidRPr="0087533D">
        <w:rPr>
          <w:b w:val="0"/>
        </w:rPr>
        <w:t xml:space="preserve"> </w:t>
      </w:r>
      <w:r w:rsidR="00120551" w:rsidRPr="0087533D">
        <w:rPr>
          <w:b w:val="0"/>
        </w:rPr>
        <w:t>kapselpolysakkarid)</w:t>
      </w:r>
      <w:r w:rsidR="00212412" w:rsidRPr="0087533D">
        <w:rPr>
          <w:b w:val="0"/>
        </w:rPr>
        <w:t>.</w:t>
      </w:r>
      <w:r w:rsidR="00DE7CDC" w:rsidRPr="0087533D">
        <w:rPr>
          <w:b w:val="0"/>
        </w:rPr>
        <w:t xml:space="preserve"> </w:t>
      </w:r>
      <w:r w:rsidR="00541A0D" w:rsidRPr="0087533D">
        <w:rPr>
          <w:b w:val="0"/>
        </w:rPr>
        <w:t xml:space="preserve">Defekt kan først diagnosticeres efter andet leveår, </w:t>
      </w:r>
      <w:r w:rsidR="00212412" w:rsidRPr="0087533D">
        <w:rPr>
          <w:b w:val="0"/>
        </w:rPr>
        <w:t xml:space="preserve">fordi </w:t>
      </w:r>
      <w:r w:rsidR="00125740" w:rsidRPr="0087533D">
        <w:rPr>
          <w:b w:val="0"/>
        </w:rPr>
        <w:t xml:space="preserve">selv raske ikke kan forventes at have </w:t>
      </w:r>
      <w:r w:rsidR="00212412" w:rsidRPr="0087533D">
        <w:rPr>
          <w:b w:val="0"/>
        </w:rPr>
        <w:t xml:space="preserve">sufficient antistofrespons mod </w:t>
      </w:r>
      <w:r w:rsidR="00541A0D" w:rsidRPr="0087533D">
        <w:rPr>
          <w:b w:val="0"/>
        </w:rPr>
        <w:t xml:space="preserve">rene polysakkarider </w:t>
      </w:r>
      <w:r w:rsidR="00125740" w:rsidRPr="0087533D">
        <w:rPr>
          <w:b w:val="0"/>
        </w:rPr>
        <w:t>før</w:t>
      </w:r>
      <w:r w:rsidR="00541A0D" w:rsidRPr="0087533D">
        <w:rPr>
          <w:b w:val="0"/>
        </w:rPr>
        <w:t xml:space="preserve">. </w:t>
      </w:r>
      <w:r w:rsidR="00BB7513" w:rsidRPr="0087533D">
        <w:rPr>
          <w:b w:val="0"/>
        </w:rPr>
        <w:t xml:space="preserve">Er personen tidligere vaccineret med </w:t>
      </w:r>
      <w:r w:rsidR="00D93401" w:rsidRPr="0087533D">
        <w:rPr>
          <w:b w:val="0"/>
        </w:rPr>
        <w:t>proteinko</w:t>
      </w:r>
      <w:r w:rsidR="00DB2AF9" w:rsidRPr="0087533D">
        <w:rPr>
          <w:b w:val="0"/>
        </w:rPr>
        <w:t>njugeret</w:t>
      </w:r>
      <w:r w:rsidR="00D93401" w:rsidRPr="0087533D">
        <w:rPr>
          <w:b w:val="0"/>
        </w:rPr>
        <w:t xml:space="preserve"> </w:t>
      </w:r>
      <w:r w:rsidR="00094321" w:rsidRPr="0087533D">
        <w:rPr>
          <w:b w:val="0"/>
        </w:rPr>
        <w:t>p</w:t>
      </w:r>
      <w:r w:rsidR="00D93401" w:rsidRPr="0087533D">
        <w:rPr>
          <w:b w:val="0"/>
        </w:rPr>
        <w:t>olysakkarid</w:t>
      </w:r>
      <w:r w:rsidR="00DB2AF9" w:rsidRPr="0087533D">
        <w:rPr>
          <w:b w:val="0"/>
        </w:rPr>
        <w:t>vaccine</w:t>
      </w:r>
      <w:r w:rsidR="003609DA" w:rsidRPr="0087533D">
        <w:rPr>
          <w:b w:val="0"/>
        </w:rPr>
        <w:t xml:space="preserve"> (indført i børnevaccinationsprogrammet)</w:t>
      </w:r>
      <w:r w:rsidR="00BB7513" w:rsidRPr="0087533D">
        <w:rPr>
          <w:b w:val="0"/>
        </w:rPr>
        <w:t xml:space="preserve">, </w:t>
      </w:r>
      <w:r w:rsidR="00094321" w:rsidRPr="0087533D">
        <w:rPr>
          <w:b w:val="0"/>
        </w:rPr>
        <w:t xml:space="preserve">kan efterfølgende </w:t>
      </w:r>
      <w:r w:rsidR="00D93401" w:rsidRPr="0087533D">
        <w:rPr>
          <w:b w:val="0"/>
        </w:rPr>
        <w:t>antistof</w:t>
      </w:r>
      <w:r w:rsidR="00094321" w:rsidRPr="0087533D">
        <w:rPr>
          <w:b w:val="0"/>
        </w:rPr>
        <w:t xml:space="preserve">respons mod </w:t>
      </w:r>
      <w:r w:rsidR="00DB2AF9" w:rsidRPr="0087533D">
        <w:rPr>
          <w:b w:val="0"/>
        </w:rPr>
        <w:t>samme</w:t>
      </w:r>
      <w:r w:rsidR="00094321" w:rsidRPr="0087533D">
        <w:rPr>
          <w:b w:val="0"/>
        </w:rPr>
        <w:t xml:space="preserve"> polysakkarider ikke antages at repræsentere sandt polysakkarid </w:t>
      </w:r>
      <w:r w:rsidR="00D93401" w:rsidRPr="0087533D">
        <w:rPr>
          <w:b w:val="0"/>
        </w:rPr>
        <w:t>antistof</w:t>
      </w:r>
      <w:r w:rsidR="00094321" w:rsidRPr="0087533D">
        <w:rPr>
          <w:b w:val="0"/>
        </w:rPr>
        <w:t>respons.</w:t>
      </w:r>
      <w:r w:rsidR="002A305B" w:rsidRPr="0087533D">
        <w:rPr>
          <w:b w:val="0"/>
        </w:rPr>
        <w:t xml:space="preserve"> </w:t>
      </w:r>
    </w:p>
    <w:p w14:paraId="17B165F5" w14:textId="31DA177A" w:rsidR="00DB76D2" w:rsidRPr="0087533D" w:rsidRDefault="002A305B" w:rsidP="00081717">
      <w:pPr>
        <w:pStyle w:val="Brdtekst"/>
        <w:rPr>
          <w:b w:val="0"/>
        </w:rPr>
      </w:pPr>
      <w:r w:rsidRPr="0087533D">
        <w:rPr>
          <w:b w:val="0"/>
        </w:rPr>
        <w:t>Undersøgelse ud</w:t>
      </w:r>
      <w:r w:rsidR="00E87EEF" w:rsidRPr="0087533D">
        <w:rPr>
          <w:b w:val="0"/>
        </w:rPr>
        <w:t xml:space="preserve">føres og vurderes i henhold til </w:t>
      </w:r>
      <w:r w:rsidRPr="0087533D">
        <w:rPr>
          <w:b w:val="0"/>
        </w:rPr>
        <w:t xml:space="preserve">guidelines fra </w:t>
      </w:r>
      <w:r w:rsidR="00E87EEF" w:rsidRPr="0087533D">
        <w:rPr>
          <w:b w:val="0"/>
        </w:rPr>
        <w:t>The American Academy of Allergy, Asthma &amp; Immunology og the American College of Allergy, Asthma &amp; Immunology (</w:t>
      </w:r>
      <w:r w:rsidR="00E87EEF" w:rsidRPr="0087533D">
        <w:rPr>
          <w:b w:val="0"/>
          <w:bCs/>
        </w:rPr>
        <w:t xml:space="preserve">Bonilla FA, </w:t>
      </w:r>
      <w:r w:rsidR="00E87EEF" w:rsidRPr="0087533D">
        <w:rPr>
          <w:rStyle w:val="jrnl"/>
          <w:b w:val="0"/>
        </w:rPr>
        <w:t>J</w:t>
      </w:r>
      <w:r w:rsidR="00E87EEF" w:rsidRPr="0087533D">
        <w:rPr>
          <w:rStyle w:val="jrnl"/>
        </w:rPr>
        <w:t xml:space="preserve"> </w:t>
      </w:r>
      <w:r w:rsidR="00E87EEF" w:rsidRPr="0087533D">
        <w:rPr>
          <w:rStyle w:val="jrnl"/>
          <w:b w:val="0"/>
        </w:rPr>
        <w:t>Allergy Clin Immunol</w:t>
      </w:r>
      <w:r w:rsidR="00E87EEF" w:rsidRPr="0087533D">
        <w:rPr>
          <w:b w:val="0"/>
        </w:rPr>
        <w:t xml:space="preserve">. </w:t>
      </w:r>
      <w:r w:rsidR="00E87EEF" w:rsidRPr="0087533D">
        <w:rPr>
          <w:b w:val="0"/>
          <w:bCs/>
        </w:rPr>
        <w:t>2015</w:t>
      </w:r>
      <w:r w:rsidR="00E87EEF" w:rsidRPr="0087533D">
        <w:rPr>
          <w:b w:val="0"/>
        </w:rPr>
        <w:t>).</w:t>
      </w:r>
    </w:p>
    <w:p w14:paraId="16C369FB" w14:textId="0EBC1F77" w:rsidR="00C154CE" w:rsidRPr="0087533D" w:rsidRDefault="00C154CE" w:rsidP="00081717">
      <w:pPr>
        <w:pStyle w:val="Brdtekst"/>
        <w:rPr>
          <w:b w:val="0"/>
        </w:rPr>
      </w:pPr>
    </w:p>
    <w:p w14:paraId="620FD6DE" w14:textId="6BC30122" w:rsidR="00213F33" w:rsidRPr="0087533D" w:rsidRDefault="00213F33" w:rsidP="00081717">
      <w:pPr>
        <w:pStyle w:val="Brdtekst"/>
        <w:rPr>
          <w:b w:val="0"/>
        </w:rPr>
      </w:pPr>
      <w:r w:rsidRPr="0087533D">
        <w:rPr>
          <w:b w:val="0"/>
        </w:rPr>
        <w:t>Antistofrespons mod protein</w:t>
      </w:r>
      <w:r w:rsidR="00DB2AF9" w:rsidRPr="0087533D">
        <w:rPr>
          <w:b w:val="0"/>
        </w:rPr>
        <w:t>vacciner</w:t>
      </w:r>
      <w:r w:rsidRPr="0087533D">
        <w:rPr>
          <w:b w:val="0"/>
        </w:rPr>
        <w:t>. Sjældnere defekt</w:t>
      </w:r>
      <w:r w:rsidR="00962E7B" w:rsidRPr="0087533D">
        <w:rPr>
          <w:b w:val="0"/>
        </w:rPr>
        <w:t xml:space="preserve"> og generelt udtryk for svær antistofdefekt</w:t>
      </w:r>
      <w:r w:rsidRPr="0087533D">
        <w:rPr>
          <w:b w:val="0"/>
        </w:rPr>
        <w:t>. Der kan undersøges for antistoffer mod tidligere mødte protein</w:t>
      </w:r>
      <w:r w:rsidR="00DB2AF9" w:rsidRPr="0087533D">
        <w:rPr>
          <w:b w:val="0"/>
        </w:rPr>
        <w:t>vacciner</w:t>
      </w:r>
      <w:r w:rsidRPr="0087533D">
        <w:rPr>
          <w:b w:val="0"/>
        </w:rPr>
        <w:t xml:space="preserve">. Ved ikke-beskyttende antistofkoncentrationer, </w:t>
      </w:r>
      <w:r w:rsidR="00DB2AF9" w:rsidRPr="0087533D">
        <w:rPr>
          <w:b w:val="0"/>
        </w:rPr>
        <w:t xml:space="preserve">gives vaccine hvorefter </w:t>
      </w:r>
      <w:r w:rsidRPr="0087533D">
        <w:rPr>
          <w:b w:val="0"/>
        </w:rPr>
        <w:t>antistof</w:t>
      </w:r>
      <w:r w:rsidR="00DB2AF9" w:rsidRPr="0087533D">
        <w:rPr>
          <w:b w:val="0"/>
        </w:rPr>
        <w:t xml:space="preserve">responset kontrolleres </w:t>
      </w:r>
      <w:r w:rsidRPr="0087533D">
        <w:rPr>
          <w:b w:val="0"/>
        </w:rPr>
        <w:t xml:space="preserve">4-6 uger efter. Opnås ikke beskyttende antistofkoncentrationer tolkes responset som nedsat. </w:t>
      </w:r>
      <w:r w:rsidR="00120551" w:rsidRPr="0087533D">
        <w:rPr>
          <w:b w:val="0"/>
        </w:rPr>
        <w:t xml:space="preserve">Mht. vaccinevalg foretrækkes vacciner der er ikke-infektiøse. Der anvendes aldrig levende svækkede vacciner til personer med betydende cellulær immundefekt. </w:t>
      </w:r>
      <w:r w:rsidR="00962E7B" w:rsidRPr="0087533D">
        <w:rPr>
          <w:b w:val="0"/>
        </w:rPr>
        <w:t xml:space="preserve">Der bør anvendes vacciner med (nær) komplet immunogenicitet i raske og </w:t>
      </w:r>
      <w:r w:rsidR="009054C4" w:rsidRPr="0087533D">
        <w:rPr>
          <w:b w:val="0"/>
        </w:rPr>
        <w:t xml:space="preserve">hvor antistofresponset kan </w:t>
      </w:r>
      <w:r w:rsidR="00962E7B" w:rsidRPr="0087533D">
        <w:rPr>
          <w:b w:val="0"/>
        </w:rPr>
        <w:t>kvanti</w:t>
      </w:r>
      <w:r w:rsidR="009054C4" w:rsidRPr="0087533D">
        <w:rPr>
          <w:b w:val="0"/>
        </w:rPr>
        <w:t>ficeres</w:t>
      </w:r>
      <w:r w:rsidR="00962E7B" w:rsidRPr="0087533D">
        <w:rPr>
          <w:b w:val="0"/>
        </w:rPr>
        <w:t xml:space="preserve">. </w:t>
      </w:r>
    </w:p>
    <w:p w14:paraId="0BA12FCA" w14:textId="77777777" w:rsidR="00DB76D2" w:rsidRPr="0087533D" w:rsidRDefault="00DB76D2" w:rsidP="00081717">
      <w:pPr>
        <w:pStyle w:val="Brdtekst"/>
      </w:pPr>
    </w:p>
    <w:p w14:paraId="41B30C4F" w14:textId="77777777" w:rsidR="00081717" w:rsidRPr="0087533D" w:rsidRDefault="00DB76D2">
      <w:pPr>
        <w:rPr>
          <w:b/>
        </w:rPr>
      </w:pPr>
      <w:r w:rsidRPr="0087533D">
        <w:rPr>
          <w:b/>
        </w:rPr>
        <w:t>Komplementaktivering:</w:t>
      </w:r>
    </w:p>
    <w:p w14:paraId="0CEC07D2" w14:textId="77777777" w:rsidR="00323F65" w:rsidRPr="0087533D" w:rsidRDefault="00323F65" w:rsidP="00323F65">
      <w:r w:rsidRPr="0087533D">
        <w:t>Screening af komplementsystemet udføres ved mistanke om komplement defekt (komplement faktor defekter og/eller komplement regulator defekt), herunder ved mistanke om Immundefekt med øget tendens til bak</w:t>
      </w:r>
      <w:r w:rsidR="00622B0B" w:rsidRPr="0087533D">
        <w:t xml:space="preserve">terielle infektioner, specielt </w:t>
      </w:r>
      <w:r w:rsidR="00622B0B" w:rsidRPr="0087533D">
        <w:rPr>
          <w:i/>
        </w:rPr>
        <w:t xml:space="preserve">S. pneumoniae </w:t>
      </w:r>
      <w:r w:rsidR="00622B0B" w:rsidRPr="0087533D">
        <w:t xml:space="preserve">eller </w:t>
      </w:r>
      <w:r w:rsidR="00622B0B" w:rsidRPr="0087533D">
        <w:rPr>
          <w:i/>
        </w:rPr>
        <w:t>N. meningitidis</w:t>
      </w:r>
      <w:r w:rsidRPr="0087533D">
        <w:t xml:space="preserve"> samt ved immunkompleks medieret autoimmunsygdom (bla SLE) og visse nyresygdomme som f.eks C3 glomerulopatier.</w:t>
      </w:r>
    </w:p>
    <w:p w14:paraId="55F4C3F3" w14:textId="77777777" w:rsidR="00323F65" w:rsidRPr="0087533D" w:rsidRDefault="00323F65" w:rsidP="00323F65">
      <w:r w:rsidRPr="0087533D">
        <w:t xml:space="preserve">Der bør måles på aktiviteten i henh. klassisk, lektin og alternativ aktiveringsvej. </w:t>
      </w:r>
    </w:p>
    <w:p w14:paraId="2A0E381E" w14:textId="77777777" w:rsidR="00323F65" w:rsidRPr="0087533D" w:rsidRDefault="00323F65" w:rsidP="00AF56C4">
      <w:r w:rsidRPr="0087533D">
        <w:t>Anbefale</w:t>
      </w:r>
      <w:r w:rsidR="007C204B" w:rsidRPr="0087533D">
        <w:t>t metode</w:t>
      </w:r>
      <w:r w:rsidR="008B630C" w:rsidRPr="0087533D">
        <w:t>:</w:t>
      </w:r>
      <w:r w:rsidR="007C204B" w:rsidRPr="0087533D">
        <w:t xml:space="preserve"> </w:t>
      </w:r>
      <w:r w:rsidR="008B630C" w:rsidRPr="0087533D">
        <w:t>ELISA</w:t>
      </w:r>
      <w:r w:rsidR="00CE4D27" w:rsidRPr="0087533D">
        <w:t xml:space="preserve"> baseret</w:t>
      </w:r>
      <w:r w:rsidR="007C204B" w:rsidRPr="0087533D">
        <w:t xml:space="preserve"> måling af dannelsen af TCC/MAC/C5b-9.</w:t>
      </w:r>
      <w:r w:rsidR="00AF56C4" w:rsidRPr="0087533D">
        <w:t xml:space="preserve"> Metoden kan være k</w:t>
      </w:r>
      <w:r w:rsidR="00CE4D27" w:rsidRPr="0087533D">
        <w:t xml:space="preserve">ommerciel (fx </w:t>
      </w:r>
      <w:r w:rsidRPr="0087533D">
        <w:t>Wieslab Complement System Screen Test</w:t>
      </w:r>
      <w:r w:rsidR="00CE4D27" w:rsidRPr="0087533D">
        <w:t>)</w:t>
      </w:r>
      <w:r w:rsidR="00AF56C4" w:rsidRPr="0087533D">
        <w:t xml:space="preserve"> eller l</w:t>
      </w:r>
      <w:r w:rsidRPr="0087533D">
        <w:t>okal</w:t>
      </w:r>
      <w:r w:rsidR="00AF56C4" w:rsidRPr="0087533D">
        <w:t xml:space="preserve"> opsat metode. </w:t>
      </w:r>
    </w:p>
    <w:p w14:paraId="7E8B8D85" w14:textId="77777777" w:rsidR="00323F65" w:rsidRPr="0087533D" w:rsidRDefault="00323F65" w:rsidP="00323F65">
      <w:r w:rsidRPr="0087533D">
        <w:t xml:space="preserve">Ved nedsat aktivitet anbefales en gentagelse af analysen </w:t>
      </w:r>
      <w:r w:rsidR="00155C2A" w:rsidRPr="0087533D">
        <w:t xml:space="preserve">på ny prøve </w:t>
      </w:r>
      <w:r w:rsidRPr="0087533D">
        <w:t>og derefter yderligere udredning vha. måling af enkelte faktor</w:t>
      </w:r>
      <w:r w:rsidR="00155C2A" w:rsidRPr="0087533D">
        <w:t>(</w:t>
      </w:r>
      <w:r w:rsidRPr="0087533D">
        <w:t>er</w:t>
      </w:r>
      <w:r w:rsidR="00155C2A" w:rsidRPr="0087533D">
        <w:t>)</w:t>
      </w:r>
      <w:r w:rsidRPr="0087533D">
        <w:t xml:space="preserve"> og genetisk analyse.  </w:t>
      </w:r>
    </w:p>
    <w:p w14:paraId="4AC1111D" w14:textId="77777777" w:rsidR="00323F65" w:rsidRPr="0087533D" w:rsidRDefault="00323F65">
      <w:pPr>
        <w:rPr>
          <w:b/>
        </w:rPr>
      </w:pPr>
    </w:p>
    <w:p w14:paraId="6BBA71A8" w14:textId="77777777" w:rsidR="00DB76D2" w:rsidRPr="0087533D" w:rsidRDefault="00DB76D2">
      <w:pPr>
        <w:rPr>
          <w:b/>
        </w:rPr>
      </w:pPr>
      <w:r w:rsidRPr="0087533D">
        <w:rPr>
          <w:b/>
        </w:rPr>
        <w:t>Lymfocytfænotypering</w:t>
      </w:r>
    </w:p>
    <w:p w14:paraId="7E04FA04" w14:textId="094687F3" w:rsidR="00EF29D2" w:rsidRPr="0087533D" w:rsidRDefault="00E97937" w:rsidP="00EF29D2">
      <w:r w:rsidRPr="0087533D">
        <w:t xml:space="preserve">Udføres som udgangspunkt på alle patienter der udredes for immundysfunktion. </w:t>
      </w:r>
      <w:r w:rsidR="00CA61D9" w:rsidRPr="0087533D">
        <w:t>Overordnet formål er kvantitativ undersøgelse af patientens lymfocytsubsets ift. forventet for aldersmatchede</w:t>
      </w:r>
      <w:r w:rsidR="00F36BF4" w:rsidRPr="0087533D">
        <w:t>, raske</w:t>
      </w:r>
      <w:r w:rsidR="00CA61D9" w:rsidRPr="0087533D">
        <w:t xml:space="preserve"> personer. </w:t>
      </w:r>
      <w:r w:rsidR="00317610" w:rsidRPr="0087533D">
        <w:t>Udføres ved flow cytometri. Undersøgte subsets bør som minimum være T-</w:t>
      </w:r>
      <w:r w:rsidR="00EF29D2" w:rsidRPr="0087533D">
        <w:t>celler (total og subsets)</w:t>
      </w:r>
      <w:r w:rsidR="00317610" w:rsidRPr="0087533D">
        <w:t>, B-</w:t>
      </w:r>
      <w:r w:rsidR="00EF29D2" w:rsidRPr="0087533D">
        <w:t>celler (total og subsets)</w:t>
      </w:r>
      <w:r w:rsidR="00317610" w:rsidRPr="0087533D">
        <w:t xml:space="preserve"> og NK-celler</w:t>
      </w:r>
      <w:r w:rsidR="00EF29D2" w:rsidRPr="0087533D">
        <w:t xml:space="preserve"> (total)</w:t>
      </w:r>
      <w:r w:rsidR="00317610" w:rsidRPr="0087533D">
        <w:t xml:space="preserve">. </w:t>
      </w:r>
    </w:p>
    <w:p w14:paraId="567E1DB1" w14:textId="5BABCA74" w:rsidR="00EF29D2" w:rsidRPr="0087533D" w:rsidRDefault="00317610" w:rsidP="00EF29D2">
      <w:pPr>
        <w:rPr>
          <w:color w:val="FF0000"/>
        </w:rPr>
      </w:pPr>
      <w:r w:rsidRPr="0087533D">
        <w:t>T-celle</w:t>
      </w:r>
      <w:r w:rsidR="00EF29D2" w:rsidRPr="0087533D">
        <w:t xml:space="preserve"> subsets</w:t>
      </w:r>
      <w:r w:rsidRPr="0087533D">
        <w:t xml:space="preserve">: CD4+ (naive og </w:t>
      </w:r>
      <w:r w:rsidR="00741C0B" w:rsidRPr="0087533D">
        <w:t>memory</w:t>
      </w:r>
      <w:r w:rsidRPr="0087533D">
        <w:t xml:space="preserve">), CD8+ (naive og </w:t>
      </w:r>
      <w:r w:rsidR="00741C0B" w:rsidRPr="0087533D">
        <w:t>memory</w:t>
      </w:r>
      <w:r w:rsidRPr="0087533D">
        <w:t>), CD4-CD8-, TCR</w:t>
      </w:r>
      <w:r w:rsidR="000848A5" w:rsidRPr="0087533D">
        <w:rPr>
          <w:rFonts w:cstheme="minorHAnsi"/>
        </w:rPr>
        <w:t>γδ</w:t>
      </w:r>
      <w:r w:rsidR="000848A5" w:rsidRPr="0087533D">
        <w:t xml:space="preserve"> udtrykkende samt aktiverede</w:t>
      </w:r>
      <w:r w:rsidR="0086115C" w:rsidRPr="0087533D">
        <w:t xml:space="preserve"> (HLA-DR positive)</w:t>
      </w:r>
      <w:r w:rsidR="000848A5" w:rsidRPr="0087533D">
        <w:t xml:space="preserve">. </w:t>
      </w:r>
      <w:r w:rsidR="00EF29D2" w:rsidRPr="0087533D">
        <w:t>Naive og m</w:t>
      </w:r>
      <w:r w:rsidR="0086115C" w:rsidRPr="0087533D">
        <w:t>em</w:t>
      </w:r>
      <w:r w:rsidR="00741C0B" w:rsidRPr="0087533D">
        <w:t>ory</w:t>
      </w:r>
      <w:r w:rsidR="00EF29D2" w:rsidRPr="0087533D">
        <w:t xml:space="preserve"> T-celler defineres i henhold til Appay V, Cytometry A, 2008. </w:t>
      </w:r>
    </w:p>
    <w:p w14:paraId="00594B86" w14:textId="22D08882" w:rsidR="00EF29D2" w:rsidRPr="0087533D" w:rsidRDefault="000848A5" w:rsidP="00EF29D2">
      <w:r w:rsidRPr="0087533D">
        <w:t>B-celle</w:t>
      </w:r>
      <w:r w:rsidR="00EF29D2" w:rsidRPr="0087533D">
        <w:t xml:space="preserve"> subsets</w:t>
      </w:r>
      <w:r w:rsidRPr="0087533D">
        <w:t>: Transitionale, Naive, klasseskiftede memory, marginalzone-like</w:t>
      </w:r>
      <w:r w:rsidR="0086115C" w:rsidRPr="0087533D">
        <w:t xml:space="preserve"> og </w:t>
      </w:r>
      <w:r w:rsidRPr="0087533D">
        <w:t>plasmablaster</w:t>
      </w:r>
      <w:r w:rsidR="0086115C" w:rsidRPr="0087533D">
        <w:t xml:space="preserve">. </w:t>
      </w:r>
      <w:r w:rsidR="00EF29D2" w:rsidRPr="0087533D">
        <w:t>B-celle subsets defineres i henhold til Warnatz K, Cytometry B Clin Cytom. 2008.</w:t>
      </w:r>
    </w:p>
    <w:p w14:paraId="5FE128DA" w14:textId="6D3A876C" w:rsidR="00EF29D2" w:rsidRPr="0087533D" w:rsidRDefault="000400D3">
      <w:r w:rsidRPr="0087533D">
        <w:t>Subsets bestemmes som a</w:t>
      </w:r>
      <w:r w:rsidR="00EF29D2" w:rsidRPr="0087533D">
        <w:t xml:space="preserve">ntalskoncentration og </w:t>
      </w:r>
      <w:r w:rsidR="006D3D97" w:rsidRPr="0087533D">
        <w:t xml:space="preserve">som andel af benævnt </w:t>
      </w:r>
      <w:r w:rsidR="00EF29D2" w:rsidRPr="0087533D">
        <w:t>population</w:t>
      </w:r>
      <w:r w:rsidRPr="0087533D">
        <w:t>.</w:t>
      </w:r>
    </w:p>
    <w:p w14:paraId="25B45985" w14:textId="21F5CAB9" w:rsidR="00EF29D2" w:rsidRPr="0087533D" w:rsidRDefault="004334F6">
      <w:r w:rsidRPr="0087533D">
        <w:t xml:space="preserve">Mistænkes bestemt immundysfunktion suppleres med </w:t>
      </w:r>
      <w:r w:rsidR="00A663EC" w:rsidRPr="0087533D">
        <w:t xml:space="preserve">evt. </w:t>
      </w:r>
      <w:r w:rsidRPr="0087533D">
        <w:t>relevant yderligere fænotypering.</w:t>
      </w:r>
    </w:p>
    <w:p w14:paraId="27503CB9" w14:textId="77777777" w:rsidR="00DB76D2" w:rsidRPr="0087533D" w:rsidRDefault="00DB76D2">
      <w:pPr>
        <w:rPr>
          <w:b/>
        </w:rPr>
      </w:pPr>
    </w:p>
    <w:p w14:paraId="4C3649B1" w14:textId="77777777" w:rsidR="00DB76D2" w:rsidRPr="0087533D" w:rsidRDefault="00DB76D2">
      <w:pPr>
        <w:rPr>
          <w:b/>
        </w:rPr>
      </w:pPr>
      <w:r w:rsidRPr="0087533D">
        <w:rPr>
          <w:b/>
        </w:rPr>
        <w:t>Lymfocytproliferation</w:t>
      </w:r>
    </w:p>
    <w:p w14:paraId="59B5E5E3" w14:textId="77777777" w:rsidR="00C66718" w:rsidRPr="0087533D" w:rsidRDefault="007C204B" w:rsidP="007C204B">
      <w:r w:rsidRPr="0087533D">
        <w:t>Indikation: Mistanke om primær immundefekt, herunder mistanke om specielle og svære cellulære/T-celle signalerings defekter (DiGeorge-syndrom, svær kombineret immundefekt etc.), eller kombinerede T- og B-celle defekter (CID, Wiskott Aldrich syndrom, ataxia telangiectasia, common variable immunodeficeincy / CVID, etc.), hvor T-cellefunktionen kan være svækket</w:t>
      </w:r>
      <w:r w:rsidR="00C66718" w:rsidRPr="0087533D">
        <w:t xml:space="preserve">. </w:t>
      </w:r>
    </w:p>
    <w:p w14:paraId="32412675" w14:textId="77777777" w:rsidR="007C204B" w:rsidRPr="0087533D" w:rsidRDefault="007C204B" w:rsidP="007C204B">
      <w:r w:rsidRPr="0087533D">
        <w:t>Evaluering af T-cellefunktion hos patienter med sekundær immundefekt, enten sygdomsrelateret eller iatrogen.</w:t>
      </w:r>
    </w:p>
    <w:p w14:paraId="086D2D0D" w14:textId="77777777" w:rsidR="007C204B" w:rsidRPr="0087533D" w:rsidRDefault="007C204B" w:rsidP="00C66718">
      <w:r w:rsidRPr="0087533D">
        <w:t xml:space="preserve">Anbefalet metode: Flowcytometrisk måling af </w:t>
      </w:r>
      <w:r w:rsidR="00C66718" w:rsidRPr="0087533D">
        <w:t xml:space="preserve">fluorofore </w:t>
      </w:r>
      <w:r w:rsidRPr="0087533D">
        <w:t>fortynding i delende CD4pos T-celler celler. Analysen undersøger CD4 T-cellers evne til at prolifferere som respons på hhv. mitogen (PHA) og direkte stimulation af T-cellereceptoren med CD3/CD28 koblede beads.</w:t>
      </w:r>
    </w:p>
    <w:p w14:paraId="5F65F754" w14:textId="77777777" w:rsidR="007C204B" w:rsidRPr="0087533D" w:rsidRDefault="0087533D" w:rsidP="007C204B">
      <w:hyperlink r:id="rId5" w:tgtFrame="_blank" w:history="1">
        <w:r w:rsidR="007C204B" w:rsidRPr="0087533D">
          <w:rPr>
            <w:rStyle w:val="Hyperlink"/>
            <w:rFonts w:ascii="Calibri" w:hAnsi="Calibri" w:cs="Calibri"/>
          </w:rPr>
          <w:t>https://www.mayomedicallaboratories.com/test-catalog/Clinical+and+Interpretive/60591</w:t>
        </w:r>
      </w:hyperlink>
      <w:r w:rsidR="007C204B" w:rsidRPr="0087533D">
        <w:rPr>
          <w:rFonts w:ascii="Calibri" w:hAnsi="Calibri" w:cs="Calibri"/>
          <w:color w:val="000000"/>
        </w:rPr>
        <w:t>​</w:t>
      </w:r>
    </w:p>
    <w:p w14:paraId="65CE46C7" w14:textId="77777777" w:rsidR="00DB76D2" w:rsidRPr="0087533D" w:rsidRDefault="00DB76D2"/>
    <w:p w14:paraId="357E2466" w14:textId="77777777" w:rsidR="00541EFB" w:rsidRPr="0087533D" w:rsidRDefault="006C5456" w:rsidP="00541EFB">
      <w:pPr>
        <w:rPr>
          <w:b/>
        </w:rPr>
      </w:pPr>
      <w:r w:rsidRPr="0087533D">
        <w:rPr>
          <w:b/>
        </w:rPr>
        <w:t>Granulocyt</w:t>
      </w:r>
      <w:r w:rsidR="00541EFB" w:rsidRPr="0087533D">
        <w:rPr>
          <w:b/>
        </w:rPr>
        <w:t xml:space="preserve"> ROS produktion</w:t>
      </w:r>
      <w:r w:rsidR="00541EFB" w:rsidRPr="0087533D">
        <w:t>:</w:t>
      </w:r>
    </w:p>
    <w:p w14:paraId="43472A4E" w14:textId="77777777" w:rsidR="00CB011D" w:rsidRPr="0087533D" w:rsidRDefault="006A74C1" w:rsidP="00776858">
      <w:pPr>
        <w:jc w:val="both"/>
      </w:pPr>
      <w:r w:rsidRPr="0087533D">
        <w:t>Analysens formål er at undersøge for kronisk granulomatøs sygdom/Chronic granulomatous disease (CGD). CGD-patienter har meget høj hyppighed af de anførte infektionstyper (</w:t>
      </w:r>
      <w:r w:rsidR="00561BE8" w:rsidRPr="0087533D">
        <w:rPr>
          <w:rFonts w:cs="Helvetica"/>
        </w:rPr>
        <w:t xml:space="preserve">Winkelstein JA et al, Medicine (Baltimore) 2000 &amp; </w:t>
      </w:r>
      <w:r w:rsidRPr="0087533D">
        <w:rPr>
          <w:rFonts w:cs="Helvetica"/>
        </w:rPr>
        <w:t>Marciano BE et al, Clin Infect Dis. 2015</w:t>
      </w:r>
      <w:r w:rsidRPr="0087533D">
        <w:t>).</w:t>
      </w:r>
      <w:r w:rsidR="004B023E" w:rsidRPr="0087533D">
        <w:t xml:space="preserve"> CGD vil forventeligt være en sjælden årsag til de anførte infektionstyper</w:t>
      </w:r>
      <w:r w:rsidR="00471AB8" w:rsidRPr="0087533D">
        <w:t xml:space="preserve">. Sygdommens alvorlighed og analysens simplicitet retfærdiggør dog undersøgelse allerede </w:t>
      </w:r>
      <w:r w:rsidR="00CB011D" w:rsidRPr="0087533D">
        <w:t>under indledende udredning.</w:t>
      </w:r>
    </w:p>
    <w:p w14:paraId="1C2ED698" w14:textId="77777777" w:rsidR="00C22657" w:rsidRPr="0087533D" w:rsidRDefault="00572625" w:rsidP="00776858">
      <w:pPr>
        <w:jc w:val="both"/>
      </w:pPr>
      <w:r w:rsidRPr="0087533D">
        <w:t>CGD erkendes langt oftest</w:t>
      </w:r>
      <w:r w:rsidR="00CB011D" w:rsidRPr="0087533D">
        <w:t xml:space="preserve"> hos mindre børn, men nogle gange først </w:t>
      </w:r>
      <w:r w:rsidR="002A7792" w:rsidRPr="0087533D">
        <w:t>hos</w:t>
      </w:r>
      <w:r w:rsidR="00CB011D" w:rsidRPr="0087533D">
        <w:t xml:space="preserve"> voksne (</w:t>
      </w:r>
      <w:r w:rsidR="00081717" w:rsidRPr="0087533D">
        <w:rPr>
          <w:rStyle w:val="highlight2"/>
          <w:rFonts w:cs="Arial"/>
        </w:rPr>
        <w:t xml:space="preserve">van den Berg JM et al, </w:t>
      </w:r>
      <w:r w:rsidR="00081717" w:rsidRPr="0087533D">
        <w:rPr>
          <w:rFonts w:cs="Arial"/>
        </w:rPr>
        <w:t>PLoS One</w:t>
      </w:r>
      <w:r w:rsidR="00081717" w:rsidRPr="0087533D">
        <w:rPr>
          <w:rFonts w:ascii="Arial" w:hAnsi="Arial" w:cs="Arial"/>
          <w:color w:val="2F4A8B"/>
          <w:sz w:val="20"/>
          <w:szCs w:val="20"/>
          <w:u w:val="single"/>
        </w:rPr>
        <w:t>.</w:t>
      </w:r>
      <w:r w:rsidR="00081717" w:rsidRPr="0087533D">
        <w:rPr>
          <w:rFonts w:ascii="Arial" w:hAnsi="Arial" w:cs="Arial"/>
          <w:sz w:val="20"/>
          <w:szCs w:val="20"/>
        </w:rPr>
        <w:t xml:space="preserve"> 2009</w:t>
      </w:r>
      <w:r w:rsidR="00CB011D" w:rsidRPr="0087533D">
        <w:t>)</w:t>
      </w:r>
      <w:r w:rsidR="002A7792" w:rsidRPr="0087533D">
        <w:t>.</w:t>
      </w:r>
      <w:r w:rsidR="00081717" w:rsidRPr="0087533D">
        <w:t xml:space="preserve"> Der kan derfor ikke meningsfyldt defineres øvre aldersgrænse for, hvornår analysen </w:t>
      </w:r>
      <w:r w:rsidR="002C31F9" w:rsidRPr="0087533D">
        <w:t xml:space="preserve">ikke længere </w:t>
      </w:r>
      <w:r w:rsidR="00081717" w:rsidRPr="0087533D">
        <w:t>er relevant.</w:t>
      </w:r>
    </w:p>
    <w:p w14:paraId="4BEB3A0B" w14:textId="77777777" w:rsidR="00172A86" w:rsidRPr="0087533D" w:rsidRDefault="00172A86" w:rsidP="00C66718">
      <w:pPr>
        <w:jc w:val="both"/>
      </w:pPr>
      <w:r w:rsidRPr="0087533D">
        <w:t xml:space="preserve">Anbefalede </w:t>
      </w:r>
      <w:r w:rsidR="00C66718" w:rsidRPr="0087533D">
        <w:t>metode</w:t>
      </w:r>
      <w:r w:rsidRPr="0087533D">
        <w:t>:</w:t>
      </w:r>
      <w:r w:rsidR="00C66718" w:rsidRPr="0087533D">
        <w:t xml:space="preserve"> </w:t>
      </w:r>
      <w:r w:rsidRPr="0087533D">
        <w:t xml:space="preserve">Flow cytometri med dihydrorhodamine-123 (fx. </w:t>
      </w:r>
      <w:r w:rsidRPr="0087533D">
        <w:rPr>
          <w:iCs/>
        </w:rPr>
        <w:t>Vowells SJ et al. J Immunol Methods. 1995 Jan 13;178(1):89-97)</w:t>
      </w:r>
    </w:p>
    <w:p w14:paraId="1A1E9403" w14:textId="77777777" w:rsidR="00172A86" w:rsidRPr="0087533D" w:rsidRDefault="00172A86" w:rsidP="00776858">
      <w:pPr>
        <w:jc w:val="both"/>
      </w:pPr>
      <w:r w:rsidRPr="0087533D">
        <w:t xml:space="preserve"> </w:t>
      </w:r>
    </w:p>
    <w:p w14:paraId="2220ECAA" w14:textId="77777777" w:rsidR="00DB76D2" w:rsidRPr="0087533D" w:rsidRDefault="004477F0">
      <w:pPr>
        <w:rPr>
          <w:b/>
          <w:u w:val="single"/>
        </w:rPr>
      </w:pPr>
      <w:r w:rsidRPr="0087533D">
        <w:rPr>
          <w:b/>
          <w:u w:val="single"/>
        </w:rPr>
        <w:t>Genetisk test:</w:t>
      </w:r>
    </w:p>
    <w:p w14:paraId="29C462B9" w14:textId="77777777" w:rsidR="0070710E" w:rsidRPr="0087533D" w:rsidRDefault="0070710E" w:rsidP="005E261B">
      <w:pPr>
        <w:jc w:val="both"/>
      </w:pPr>
      <w:r w:rsidRPr="0087533D">
        <w:t xml:space="preserve">Med aktuelt tilgængelig viden og teknologier er det langt overvejende primær immundysfunktionslidelser på essentielt monogen baggrund der kan undersøges for. </w:t>
      </w:r>
    </w:p>
    <w:p w14:paraId="442606ED" w14:textId="6483646E" w:rsidR="0070710E" w:rsidRPr="0087533D" w:rsidRDefault="0070710E" w:rsidP="005E261B">
      <w:pPr>
        <w:jc w:val="both"/>
      </w:pPr>
      <w:r w:rsidRPr="0087533D">
        <w:t>Inden genetisk udredning startes, skal den kliniske fænotype være veldokumenteret. Der bør foreligge forudgående laboratorieundersøgelser der understøtter mistanken om primær immundysfunktion.</w:t>
      </w:r>
      <w:r w:rsidR="003D3883" w:rsidRPr="0087533D">
        <w:t xml:space="preserve"> Ved anvendelse af teknologier baseret på massiv parallel sekvensering skal der foreligge informeret skriftligt samtykke fra patienten eller dennes værge. Gældende skema er tilgængelig på Nationalt Genom Centers hjemmeside.</w:t>
      </w:r>
    </w:p>
    <w:p w14:paraId="6B34A277" w14:textId="56592DE8" w:rsidR="001A544D" w:rsidRPr="0087533D" w:rsidRDefault="002262F3" w:rsidP="005E261B">
      <w:pPr>
        <w:jc w:val="both"/>
      </w:pPr>
      <w:r w:rsidRPr="0087533D">
        <w:t xml:space="preserve">Ved </w:t>
      </w:r>
      <w:r w:rsidR="00A109DC" w:rsidRPr="0087533D">
        <w:t xml:space="preserve">indikation for genetisk diagnostik </w:t>
      </w:r>
      <w:r w:rsidRPr="0087533D">
        <w:t xml:space="preserve">bør assay baseret på massiv parallel sekventering </w:t>
      </w:r>
      <w:r w:rsidR="003104BF" w:rsidRPr="0087533D">
        <w:t xml:space="preserve">som udgangspunkt </w:t>
      </w:r>
      <w:r w:rsidRPr="0087533D">
        <w:t>foretrækkes. Targeteret sekventering af genpanel kan være rationelt, men begrænser i sagens natur undersøgelsen til de inkluderede gener. Whole exome sequencing</w:t>
      </w:r>
      <w:r w:rsidR="006A6CCB" w:rsidRPr="0087533D">
        <w:t xml:space="preserve"> (WES)</w:t>
      </w:r>
      <w:r w:rsidRPr="0087533D">
        <w:t>, alternativt whole genome sequencing</w:t>
      </w:r>
      <w:r w:rsidR="006A6CCB" w:rsidRPr="0087533D">
        <w:t xml:space="preserve"> (WGS)</w:t>
      </w:r>
      <w:r w:rsidRPr="0087533D">
        <w:t xml:space="preserve">, </w:t>
      </w:r>
      <w:r w:rsidR="006A6CCB" w:rsidRPr="0087533D">
        <w:t xml:space="preserve">er mere fleksibelt. Patienter med primær immundefekt er inkluderet som gruppe i Nationalt Genom Center og forventes i løbet af 2022 at kunne få udført WGS i dette regi. For både WES og WGS </w:t>
      </w:r>
      <w:r w:rsidR="001A544D" w:rsidRPr="0087533D">
        <w:t xml:space="preserve">forventes størst </w:t>
      </w:r>
      <w:r w:rsidR="006A6CCB" w:rsidRPr="0087533D">
        <w:t xml:space="preserve">diagnostiske udbytte </w:t>
      </w:r>
      <w:r w:rsidR="001A544D" w:rsidRPr="0087533D">
        <w:t xml:space="preserve">hvis analyserne </w:t>
      </w:r>
      <w:r w:rsidR="006A6CCB" w:rsidRPr="0087533D">
        <w:t>udføres som trio-opsæt (sekvensering af både patient og forældre)</w:t>
      </w:r>
      <w:r w:rsidR="001A544D" w:rsidRPr="0087533D">
        <w:t xml:space="preserve"> </w:t>
      </w:r>
      <w:r w:rsidR="00990E1F" w:rsidRPr="0087533D">
        <w:t xml:space="preserve">sammenlignet med </w:t>
      </w:r>
      <w:r w:rsidR="001A544D" w:rsidRPr="0087533D">
        <w:t>analyse af den enkelte patient</w:t>
      </w:r>
      <w:r w:rsidR="006A6CCB" w:rsidRPr="0087533D">
        <w:t xml:space="preserve">. Af omkostningshensyn kan det </w:t>
      </w:r>
      <w:r w:rsidR="001A544D" w:rsidRPr="0087533D">
        <w:t xml:space="preserve">dog </w:t>
      </w:r>
      <w:r w:rsidR="006A6CCB" w:rsidRPr="0087533D">
        <w:t xml:space="preserve">være hensigtsmæssigt at starte med sekvensering af patienten. I så fald bør variantfortolkningen foretages </w:t>
      </w:r>
      <w:r w:rsidR="001A544D" w:rsidRPr="0087533D">
        <w:t xml:space="preserve">med genpanel afstemt efter patientens fænotype og øvrige fund. Dette for at minimere risikoen for sekundære fund og af ressourcehensyn. For genpaneler til forskellige former for immundysfunktion henvises til </w:t>
      </w:r>
      <w:r w:rsidR="006E66BA" w:rsidRPr="0087533D">
        <w:t>gældende</w:t>
      </w:r>
      <w:r w:rsidR="001A544D" w:rsidRPr="0087533D">
        <w:t xml:space="preserve"> lister på DSKIs hjemmeside. </w:t>
      </w:r>
      <w:r w:rsidR="00990E1F" w:rsidRPr="0087533D">
        <w:t xml:space="preserve">Der </w:t>
      </w:r>
      <w:r w:rsidR="001A544D" w:rsidRPr="0087533D">
        <w:t xml:space="preserve">bør </w:t>
      </w:r>
      <w:r w:rsidR="00990E1F" w:rsidRPr="0087533D">
        <w:t>suppleres med yderligere gener</w:t>
      </w:r>
      <w:r w:rsidR="006E66BA" w:rsidRPr="0087533D">
        <w:t>,</w:t>
      </w:r>
      <w:r w:rsidR="001A544D" w:rsidRPr="0087533D">
        <w:t xml:space="preserve"> </w:t>
      </w:r>
      <w:r w:rsidR="00990E1F" w:rsidRPr="0087533D">
        <w:t xml:space="preserve">hvis relevant i forhold til den enkelte patients klinik og fund (fx baseret på søgning i Human Phenotype Ontology database, publikationer eller andet). </w:t>
      </w:r>
      <w:r w:rsidR="006E66BA" w:rsidRPr="0087533D">
        <w:t xml:space="preserve">Ved høj mistanke om genetisk forklaring uden påvist årsag efter sekvensering af den enkelte patient, </w:t>
      </w:r>
      <w:r w:rsidR="00990E1F" w:rsidRPr="0087533D">
        <w:t>bør der suppleres med analyse af forældrene (om muligt)</w:t>
      </w:r>
      <w:r w:rsidR="006E66BA" w:rsidRPr="0087533D">
        <w:t xml:space="preserve">. </w:t>
      </w:r>
      <w:r w:rsidR="006B63BE" w:rsidRPr="0087533D">
        <w:t xml:space="preserve">Trio bør overvejes som udgangspunkt ved alvorlig immundysfunktion. </w:t>
      </w:r>
    </w:p>
    <w:p w14:paraId="64240ABA" w14:textId="596B7AA6" w:rsidR="005E261B" w:rsidRPr="0087533D" w:rsidRDefault="006B63BE" w:rsidP="005E261B">
      <w:pPr>
        <w:jc w:val="both"/>
      </w:pPr>
      <w:r w:rsidRPr="0087533D">
        <w:t xml:space="preserve">Variantfortolkningen skal </w:t>
      </w:r>
      <w:r w:rsidR="002262F3" w:rsidRPr="0087533D">
        <w:t xml:space="preserve">udføres af akademisk personale med indsigt i PID og dataanalysen. Vurdering af fund ift. klinik og øvrige fund bør udføres i samråd med speciallæge i klinisk immunologi med indsigt i PID. </w:t>
      </w:r>
      <w:r w:rsidR="00001D04" w:rsidRPr="0087533D">
        <w:t xml:space="preserve">Påviste varianter som ikke er oplagte for immundysfunktionen bør verificeres på ny prøve fra patienten og/eller dennes 1. grads slægtninge. </w:t>
      </w:r>
      <w:r w:rsidR="002262F3" w:rsidRPr="0087533D">
        <w:t xml:space="preserve">Hvis slægtninge, nulevende eller evt. kommende, kan bære varianten, </w:t>
      </w:r>
      <w:r w:rsidR="00001D04" w:rsidRPr="0087533D">
        <w:t xml:space="preserve">anbefales </w:t>
      </w:r>
      <w:r w:rsidR="002262F3" w:rsidRPr="0087533D">
        <w:t xml:space="preserve">genetisk </w:t>
      </w:r>
      <w:r w:rsidR="00001D04" w:rsidRPr="0087533D">
        <w:t>rådgivning</w:t>
      </w:r>
      <w:r w:rsidR="002262F3" w:rsidRPr="0087533D">
        <w:t xml:space="preserve">. </w:t>
      </w:r>
      <w:r w:rsidRPr="0087533D">
        <w:t xml:space="preserve">Dette bør udføres i specialet Klinisk Genetik. </w:t>
      </w:r>
      <w:r w:rsidR="00112231" w:rsidRPr="0087533D">
        <w:t xml:space="preserve">Varianter med udokumenteret funktionel betydning bør </w:t>
      </w:r>
      <w:r w:rsidR="002262F3" w:rsidRPr="0087533D">
        <w:t>tilstræbes karakterisere</w:t>
      </w:r>
      <w:r w:rsidR="00112231" w:rsidRPr="0087533D">
        <w:t xml:space="preserve">t alternativt svares med passende forbehold. </w:t>
      </w:r>
      <w:r w:rsidRPr="0087533D">
        <w:t xml:space="preserve">Sekundære </w:t>
      </w:r>
      <w:r w:rsidR="00270EF9" w:rsidRPr="0087533D">
        <w:t>fund er genetiske varianter</w:t>
      </w:r>
      <w:r w:rsidR="00F67003" w:rsidRPr="0087533D">
        <w:t>,</w:t>
      </w:r>
      <w:r w:rsidR="00270EF9" w:rsidRPr="0087533D">
        <w:t xml:space="preserve"> der ikke med rimelighed kan forventes at have betydning for den undersøgte immundysfunktion men som med stor sandsynlighed kan have anden biologisk betydning. </w:t>
      </w:r>
      <w:r w:rsidR="002262F3" w:rsidRPr="0087533D">
        <w:t xml:space="preserve">Risikoen for </w:t>
      </w:r>
      <w:r w:rsidRPr="0087533D">
        <w:t xml:space="preserve">sekundære </w:t>
      </w:r>
      <w:r w:rsidR="002262F3" w:rsidRPr="0087533D">
        <w:t>fund bør minimeres ved targetering</w:t>
      </w:r>
      <w:r w:rsidR="00270EF9" w:rsidRPr="0087533D">
        <w:t xml:space="preserve"> som ovenfor skitseret</w:t>
      </w:r>
      <w:r w:rsidR="002262F3" w:rsidRPr="0087533D">
        <w:t xml:space="preserve">. </w:t>
      </w:r>
      <w:r w:rsidRPr="0087533D">
        <w:t xml:space="preserve">Sekundære </w:t>
      </w:r>
      <w:r w:rsidR="00270EF9" w:rsidRPr="0087533D">
        <w:t xml:space="preserve">fund </w:t>
      </w:r>
      <w:r w:rsidR="002262F3" w:rsidRPr="0087533D">
        <w:t>bør kun rapporteres, hvis ønsket af patienten</w:t>
      </w:r>
      <w:r w:rsidRPr="0087533D">
        <w:t xml:space="preserve"> i henhold til dennes skriftlige samtykke</w:t>
      </w:r>
      <w:r w:rsidR="002262F3" w:rsidRPr="0087533D">
        <w:t xml:space="preserve">. </w:t>
      </w:r>
      <w:r w:rsidR="00270EF9" w:rsidRPr="0087533D">
        <w:t xml:space="preserve">Konkret </w:t>
      </w:r>
      <w:r w:rsidR="002262F3" w:rsidRPr="0087533D">
        <w:t xml:space="preserve">problematik </w:t>
      </w:r>
      <w:r w:rsidR="00270EF9" w:rsidRPr="0087533D">
        <w:t xml:space="preserve">med tilfældigt fund </w:t>
      </w:r>
      <w:r w:rsidR="002262F3" w:rsidRPr="0087533D">
        <w:t>kan med</w:t>
      </w:r>
      <w:r w:rsidR="000C4888" w:rsidRPr="0087533D">
        <w:t xml:space="preserve"> </w:t>
      </w:r>
      <w:r w:rsidR="002262F3" w:rsidRPr="0087533D">
        <w:t>fordel diskuteres med speciallæge i Klinisk Genetik.</w:t>
      </w:r>
    </w:p>
    <w:p w14:paraId="55BC5AA9" w14:textId="77777777" w:rsidR="005E261B" w:rsidRPr="0087533D" w:rsidRDefault="00A109DC">
      <w:r w:rsidRPr="0087533D">
        <w:t>Undersøgelse for enkelte, specifikke varianter kan gøres med en række assays. Enkelte gener vil ofte kunne undersøges med Sanger sekventering, men det bør vurderes om dette er en rationel tilgang dvs. om klinikken er så entydig, at der kun forventes varianter tilstede i et enkelt eller ganske få gener.</w:t>
      </w:r>
    </w:p>
    <w:p w14:paraId="35EEDE1C" w14:textId="77777777" w:rsidR="005E261B" w:rsidRPr="0087533D" w:rsidRDefault="005E261B">
      <w:pPr>
        <w:rPr>
          <w:b/>
          <w:u w:val="single"/>
        </w:rPr>
      </w:pPr>
    </w:p>
    <w:p w14:paraId="27CBB469" w14:textId="77777777" w:rsidR="008C2CF3" w:rsidRPr="0087533D" w:rsidRDefault="008C2CF3">
      <w:pPr>
        <w:rPr>
          <w:b/>
          <w:sz w:val="24"/>
          <w:szCs w:val="24"/>
          <w:u w:val="single"/>
        </w:rPr>
      </w:pPr>
      <w:r w:rsidRPr="0087533D">
        <w:rPr>
          <w:sz w:val="24"/>
          <w:szCs w:val="24"/>
        </w:rPr>
        <w:br w:type="page"/>
      </w:r>
    </w:p>
    <w:p w14:paraId="4CD4EA9F" w14:textId="77777777" w:rsidR="008C2CF3" w:rsidRPr="0087533D" w:rsidRDefault="008C2CF3" w:rsidP="001126D9">
      <w:pPr>
        <w:pStyle w:val="Overskrift1"/>
        <w:rPr>
          <w:sz w:val="28"/>
          <w:szCs w:val="28"/>
        </w:rPr>
      </w:pPr>
      <w:r w:rsidRPr="0087533D">
        <w:rPr>
          <w:sz w:val="28"/>
          <w:szCs w:val="28"/>
        </w:rPr>
        <w:t>Immundysregulering</w:t>
      </w:r>
    </w:p>
    <w:p w14:paraId="6EB94345" w14:textId="077D7083" w:rsidR="000232B6" w:rsidRPr="0087533D" w:rsidRDefault="00C514F3" w:rsidP="00F810F1">
      <w:pPr>
        <w:jc w:val="both"/>
      </w:pPr>
      <w:r w:rsidRPr="0087533D">
        <w:t xml:space="preserve">Defekter primært involverende lymfocytter </w:t>
      </w:r>
      <w:r w:rsidR="000232B6" w:rsidRPr="0087533D">
        <w:t xml:space="preserve">med </w:t>
      </w:r>
      <w:r w:rsidRPr="0087533D">
        <w:t xml:space="preserve">fx </w:t>
      </w:r>
      <w:r w:rsidR="00FA3A72" w:rsidRPr="0087533D">
        <w:t>excessiv immunaktivering (</w:t>
      </w:r>
      <w:r w:rsidRPr="0087533D">
        <w:t>fx</w:t>
      </w:r>
      <w:r w:rsidR="00FA3A72" w:rsidRPr="0087533D">
        <w:t xml:space="preserve"> HLH) eller manglende evne til at regulere </w:t>
      </w:r>
      <w:r w:rsidRPr="0087533D">
        <w:t>lymfocytters homeostase (fx ALPS).</w:t>
      </w:r>
    </w:p>
    <w:p w14:paraId="62489B5D" w14:textId="27AD0111" w:rsidR="00F810F1" w:rsidRPr="0087533D" w:rsidRDefault="00C514F3" w:rsidP="00F810F1">
      <w:pPr>
        <w:jc w:val="both"/>
      </w:pPr>
      <w:r w:rsidRPr="0087533D">
        <w:t xml:space="preserve">Relevante differentialdiagnoser overvejes grundigt, men </w:t>
      </w:r>
      <w:r w:rsidR="005840F0" w:rsidRPr="0087533D">
        <w:t xml:space="preserve">flere af sygdommene kræver subakut behandling (fx kemoterapi), hvorfor immunologisk udredning ofte bør udføres ved førstkommende lejlighed. Udredningen </w:t>
      </w:r>
      <w:r w:rsidR="00F810F1" w:rsidRPr="0087533D">
        <w:t xml:space="preserve">bør indeholde undersøgelse af lymfocytsubpopulationer, </w:t>
      </w:r>
      <w:r w:rsidR="005840F0" w:rsidRPr="0087533D">
        <w:t>specialanalyser afstemt efter den mistænkte tilstand og genetisk</w:t>
      </w:r>
      <w:r w:rsidR="00F810F1" w:rsidRPr="0087533D">
        <w:t xml:space="preserve">e undersøgelser. Kan den lokale Immunologiske afdeling ikke umiddelbart udføre relevante specialanalyser og/eller den genetiske udredning, anbefales </w:t>
      </w:r>
      <w:r w:rsidR="00657464" w:rsidRPr="0087533D">
        <w:t>udredningen udført i samarbejde med anden national afdeling alternativt udenlandsk.</w:t>
      </w:r>
    </w:p>
    <w:p w14:paraId="063D1427" w14:textId="569A58B8" w:rsidR="008C2CF3" w:rsidRPr="0087533D" w:rsidRDefault="00F810F1" w:rsidP="00657464">
      <w:pPr>
        <w:jc w:val="both"/>
      </w:pPr>
      <w:r w:rsidRPr="0087533D">
        <w:t>Strategien for genetisk udredning anbefales som beskrevet ved ”PID med øget infektionstendens/Genetisk test.”</w:t>
      </w:r>
      <w:r w:rsidR="008C2CF3" w:rsidRPr="0087533D">
        <w:rPr>
          <w:sz w:val="24"/>
          <w:szCs w:val="24"/>
        </w:rPr>
        <w:br w:type="page"/>
      </w:r>
    </w:p>
    <w:p w14:paraId="703AC3F4" w14:textId="77777777" w:rsidR="001126D9" w:rsidRPr="0087533D" w:rsidRDefault="001126D9" w:rsidP="001126D9">
      <w:pPr>
        <w:pStyle w:val="Overskrift1"/>
        <w:rPr>
          <w:sz w:val="24"/>
          <w:szCs w:val="24"/>
        </w:rPr>
      </w:pPr>
      <w:r w:rsidRPr="0087533D">
        <w:rPr>
          <w:sz w:val="24"/>
          <w:szCs w:val="24"/>
        </w:rPr>
        <w:t xml:space="preserve">Autoinflammatoriske tilstande </w:t>
      </w:r>
    </w:p>
    <w:p w14:paraId="5B05073B" w14:textId="77777777" w:rsidR="00DF675A" w:rsidRPr="0087533D" w:rsidRDefault="00657464" w:rsidP="000232B6">
      <w:r w:rsidRPr="0087533D">
        <w:t xml:space="preserve">Patogen inflammation (ofte periodisk) som opstår på ikke infektiøs baggrund (eller hvor graden af inflammation </w:t>
      </w:r>
      <w:r w:rsidR="00DF675A" w:rsidRPr="0087533D">
        <w:t xml:space="preserve">er excessiv ifht antigen-stimulus fx vaccination). Tilbagevende og/eller svær inflammation kan være organskadende og svært invaliderende. </w:t>
      </w:r>
    </w:p>
    <w:p w14:paraId="759BB40B" w14:textId="207D2A07" w:rsidR="004E0AFA" w:rsidRPr="0087533D" w:rsidRDefault="004E0AFA" w:rsidP="000232B6">
      <w:r w:rsidRPr="0087533D">
        <w:t xml:space="preserve">Udover som nævnt generelt </w:t>
      </w:r>
      <w:r w:rsidR="005D4670" w:rsidRPr="0087533D">
        <w:t xml:space="preserve">for immundysfunktion, bør der bære beskrevet alder ved debut samt typisk frekvens, forløb, varighed og biokemi under anfald (leukocytter, CRP og SR). Desuden effekt af evt. behandling. Ledsagemanifestationer er især feber, hudaffektion, serositis (diverse), arthritis, uveitis, </w:t>
      </w:r>
      <w:r w:rsidR="00BF18B9" w:rsidRPr="0087533D">
        <w:t xml:space="preserve">konjuktivititis, </w:t>
      </w:r>
      <w:r w:rsidR="005D4670" w:rsidRPr="0087533D">
        <w:t>meningitis, mavesmerter, lymfadenopati, splenomegali</w:t>
      </w:r>
      <w:r w:rsidR="00BF18B9" w:rsidRPr="0087533D">
        <w:t xml:space="preserve"> og på lang sigt amyloidose.</w:t>
      </w:r>
    </w:p>
    <w:p w14:paraId="104DBBC0" w14:textId="200EDF5D" w:rsidR="00DF675A" w:rsidRPr="0087533D" w:rsidRDefault="00DF675A" w:rsidP="000232B6">
      <w:r w:rsidRPr="0087533D">
        <w:t>Differentialdiagnostisk bør især overvejes kroniske infektioner, onkologisk og reumatologisk lidelse.</w:t>
      </w:r>
    </w:p>
    <w:p w14:paraId="51EB642D" w14:textId="56614BBE" w:rsidR="004E0AFA" w:rsidRPr="0087533D" w:rsidRDefault="004E0AFA" w:rsidP="004E0AFA">
      <w:pPr>
        <w:jc w:val="both"/>
      </w:pPr>
      <w:r w:rsidRPr="0087533D">
        <w:t>Enkelt varianter i en længere række af gener kan give anledning ti</w:t>
      </w:r>
      <w:r w:rsidR="00BF18B9" w:rsidRPr="0087533D">
        <w:t>l defekterne. Afhængig af defekten kan der ofte vælges rationel behandling fx med monoklonale terapeutiske antistoffer. Varianters funktionelle betydning kan evt. sandsynliggøres i stimulationsforsøg med måling af cytokinrespons.</w:t>
      </w:r>
    </w:p>
    <w:p w14:paraId="5180DFA1" w14:textId="365945E2" w:rsidR="007A5106" w:rsidRPr="0087533D" w:rsidRDefault="004E0AFA" w:rsidP="004E0AFA">
      <w:pPr>
        <w:jc w:val="both"/>
        <w:rPr>
          <w:b/>
          <w:sz w:val="24"/>
          <w:szCs w:val="24"/>
          <w:u w:val="single"/>
        </w:rPr>
      </w:pPr>
      <w:r w:rsidRPr="0087533D">
        <w:t>Laboratorieudredningen er især baseret på genetiske undersøgelser. Strategien er som beskrevet ved ”PID med øget infektionstendens/Genetisk test.”</w:t>
      </w:r>
    </w:p>
    <w:sectPr w:rsidR="007A5106" w:rsidRPr="0087533D" w:rsidSect="001B52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B5BAA"/>
    <w:multiLevelType w:val="hybridMultilevel"/>
    <w:tmpl w:val="A440AD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F7721F"/>
    <w:multiLevelType w:val="hybridMultilevel"/>
    <w:tmpl w:val="CA0A5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102506"/>
    <w:multiLevelType w:val="hybridMultilevel"/>
    <w:tmpl w:val="13644E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5890F4F"/>
    <w:multiLevelType w:val="hybridMultilevel"/>
    <w:tmpl w:val="DA661E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41"/>
    <w:rsid w:val="00001D04"/>
    <w:rsid w:val="000232B6"/>
    <w:rsid w:val="000260F9"/>
    <w:rsid w:val="00030F0F"/>
    <w:rsid w:val="000400D3"/>
    <w:rsid w:val="00051089"/>
    <w:rsid w:val="00080890"/>
    <w:rsid w:val="00081717"/>
    <w:rsid w:val="000848A5"/>
    <w:rsid w:val="00086BAF"/>
    <w:rsid w:val="00094321"/>
    <w:rsid w:val="000C1FCD"/>
    <w:rsid w:val="000C4888"/>
    <w:rsid w:val="000D67BA"/>
    <w:rsid w:val="000E556B"/>
    <w:rsid w:val="001028CA"/>
    <w:rsid w:val="00107277"/>
    <w:rsid w:val="00112231"/>
    <w:rsid w:val="001126D9"/>
    <w:rsid w:val="00120551"/>
    <w:rsid w:val="00125740"/>
    <w:rsid w:val="00125B52"/>
    <w:rsid w:val="00131CF0"/>
    <w:rsid w:val="00155C2A"/>
    <w:rsid w:val="00160379"/>
    <w:rsid w:val="00172A86"/>
    <w:rsid w:val="001A544D"/>
    <w:rsid w:val="001B5290"/>
    <w:rsid w:val="001B70DE"/>
    <w:rsid w:val="001D1EF9"/>
    <w:rsid w:val="001D4F14"/>
    <w:rsid w:val="001F2511"/>
    <w:rsid w:val="00212412"/>
    <w:rsid w:val="00213F33"/>
    <w:rsid w:val="00217BA2"/>
    <w:rsid w:val="002262F3"/>
    <w:rsid w:val="00270EF9"/>
    <w:rsid w:val="002730DB"/>
    <w:rsid w:val="002819A9"/>
    <w:rsid w:val="002964CD"/>
    <w:rsid w:val="002A305B"/>
    <w:rsid w:val="002A7792"/>
    <w:rsid w:val="002C1EB3"/>
    <w:rsid w:val="002C31F9"/>
    <w:rsid w:val="002D596C"/>
    <w:rsid w:val="002D6DB4"/>
    <w:rsid w:val="003104BF"/>
    <w:rsid w:val="00317610"/>
    <w:rsid w:val="00323F65"/>
    <w:rsid w:val="00326857"/>
    <w:rsid w:val="003332FA"/>
    <w:rsid w:val="003424FF"/>
    <w:rsid w:val="00342C03"/>
    <w:rsid w:val="003609DA"/>
    <w:rsid w:val="00364AD8"/>
    <w:rsid w:val="003862A4"/>
    <w:rsid w:val="00393685"/>
    <w:rsid w:val="003A6371"/>
    <w:rsid w:val="003C179C"/>
    <w:rsid w:val="003D3883"/>
    <w:rsid w:val="003D663B"/>
    <w:rsid w:val="003E580F"/>
    <w:rsid w:val="00402CBA"/>
    <w:rsid w:val="004334F6"/>
    <w:rsid w:val="00434BA2"/>
    <w:rsid w:val="004477F0"/>
    <w:rsid w:val="00471AB8"/>
    <w:rsid w:val="00482CB0"/>
    <w:rsid w:val="00483A5A"/>
    <w:rsid w:val="004932AB"/>
    <w:rsid w:val="00493F46"/>
    <w:rsid w:val="004A1AA6"/>
    <w:rsid w:val="004B023E"/>
    <w:rsid w:val="004B5B64"/>
    <w:rsid w:val="004C00BA"/>
    <w:rsid w:val="004D0DC2"/>
    <w:rsid w:val="004D0DDC"/>
    <w:rsid w:val="004D45E3"/>
    <w:rsid w:val="004D552C"/>
    <w:rsid w:val="004E0AFA"/>
    <w:rsid w:val="004E7874"/>
    <w:rsid w:val="004E795F"/>
    <w:rsid w:val="004F4010"/>
    <w:rsid w:val="005045FD"/>
    <w:rsid w:val="00520573"/>
    <w:rsid w:val="00524457"/>
    <w:rsid w:val="00541A0D"/>
    <w:rsid w:val="00541EFB"/>
    <w:rsid w:val="00561BE8"/>
    <w:rsid w:val="00572625"/>
    <w:rsid w:val="005840F0"/>
    <w:rsid w:val="005943B5"/>
    <w:rsid w:val="005A101C"/>
    <w:rsid w:val="005C409F"/>
    <w:rsid w:val="005C46AC"/>
    <w:rsid w:val="005D2935"/>
    <w:rsid w:val="005D4670"/>
    <w:rsid w:val="005E261B"/>
    <w:rsid w:val="005E754D"/>
    <w:rsid w:val="00622B0B"/>
    <w:rsid w:val="00623730"/>
    <w:rsid w:val="00642E06"/>
    <w:rsid w:val="006524D8"/>
    <w:rsid w:val="00657464"/>
    <w:rsid w:val="0067201D"/>
    <w:rsid w:val="00675413"/>
    <w:rsid w:val="006A6CCB"/>
    <w:rsid w:val="006A74C1"/>
    <w:rsid w:val="006B63BE"/>
    <w:rsid w:val="006C5456"/>
    <w:rsid w:val="006D3D97"/>
    <w:rsid w:val="006E66BA"/>
    <w:rsid w:val="006F628B"/>
    <w:rsid w:val="00700919"/>
    <w:rsid w:val="0070507F"/>
    <w:rsid w:val="0070710E"/>
    <w:rsid w:val="007212D3"/>
    <w:rsid w:val="00741C0B"/>
    <w:rsid w:val="00747A78"/>
    <w:rsid w:val="007524D7"/>
    <w:rsid w:val="00756D02"/>
    <w:rsid w:val="00760D37"/>
    <w:rsid w:val="00776858"/>
    <w:rsid w:val="00784443"/>
    <w:rsid w:val="007A5106"/>
    <w:rsid w:val="007B179F"/>
    <w:rsid w:val="007C204B"/>
    <w:rsid w:val="007E4514"/>
    <w:rsid w:val="008202BC"/>
    <w:rsid w:val="00843AB1"/>
    <w:rsid w:val="0086115C"/>
    <w:rsid w:val="00874369"/>
    <w:rsid w:val="0087533D"/>
    <w:rsid w:val="00890C24"/>
    <w:rsid w:val="00897FAA"/>
    <w:rsid w:val="008B630C"/>
    <w:rsid w:val="008B79E5"/>
    <w:rsid w:val="008C2CF3"/>
    <w:rsid w:val="008D50C8"/>
    <w:rsid w:val="008E68A0"/>
    <w:rsid w:val="008E6CB1"/>
    <w:rsid w:val="009054C4"/>
    <w:rsid w:val="00905B37"/>
    <w:rsid w:val="00931BFF"/>
    <w:rsid w:val="00935E9C"/>
    <w:rsid w:val="00961767"/>
    <w:rsid w:val="00962E7B"/>
    <w:rsid w:val="00963A5D"/>
    <w:rsid w:val="00990E1F"/>
    <w:rsid w:val="00991E82"/>
    <w:rsid w:val="009A7B4E"/>
    <w:rsid w:val="009B0A41"/>
    <w:rsid w:val="009C499E"/>
    <w:rsid w:val="009E2C55"/>
    <w:rsid w:val="009E465F"/>
    <w:rsid w:val="009F501E"/>
    <w:rsid w:val="00A109DC"/>
    <w:rsid w:val="00A315E6"/>
    <w:rsid w:val="00A663EC"/>
    <w:rsid w:val="00A7231F"/>
    <w:rsid w:val="00A746B9"/>
    <w:rsid w:val="00A76790"/>
    <w:rsid w:val="00A93B6D"/>
    <w:rsid w:val="00AB7C86"/>
    <w:rsid w:val="00AD3C41"/>
    <w:rsid w:val="00AD6FC4"/>
    <w:rsid w:val="00AF2B10"/>
    <w:rsid w:val="00AF56C4"/>
    <w:rsid w:val="00B03963"/>
    <w:rsid w:val="00B1617A"/>
    <w:rsid w:val="00B24829"/>
    <w:rsid w:val="00B24D37"/>
    <w:rsid w:val="00B30BFB"/>
    <w:rsid w:val="00B904ED"/>
    <w:rsid w:val="00BA1D31"/>
    <w:rsid w:val="00BA55AF"/>
    <w:rsid w:val="00BB209D"/>
    <w:rsid w:val="00BB467D"/>
    <w:rsid w:val="00BB7513"/>
    <w:rsid w:val="00BF18B9"/>
    <w:rsid w:val="00C154CE"/>
    <w:rsid w:val="00C22657"/>
    <w:rsid w:val="00C41EEE"/>
    <w:rsid w:val="00C514F3"/>
    <w:rsid w:val="00C66718"/>
    <w:rsid w:val="00C77790"/>
    <w:rsid w:val="00C81784"/>
    <w:rsid w:val="00C84561"/>
    <w:rsid w:val="00C905EA"/>
    <w:rsid w:val="00CA07A7"/>
    <w:rsid w:val="00CA481B"/>
    <w:rsid w:val="00CA61D9"/>
    <w:rsid w:val="00CB011D"/>
    <w:rsid w:val="00CB1BE1"/>
    <w:rsid w:val="00CD514D"/>
    <w:rsid w:val="00CE3015"/>
    <w:rsid w:val="00CE4D27"/>
    <w:rsid w:val="00D10169"/>
    <w:rsid w:val="00D13C66"/>
    <w:rsid w:val="00D36AC1"/>
    <w:rsid w:val="00D47075"/>
    <w:rsid w:val="00D57983"/>
    <w:rsid w:val="00D6374D"/>
    <w:rsid w:val="00D93401"/>
    <w:rsid w:val="00DA71E8"/>
    <w:rsid w:val="00DA7E9B"/>
    <w:rsid w:val="00DB2AF9"/>
    <w:rsid w:val="00DB76D2"/>
    <w:rsid w:val="00DD44D2"/>
    <w:rsid w:val="00DE7CDC"/>
    <w:rsid w:val="00DF675A"/>
    <w:rsid w:val="00E022DB"/>
    <w:rsid w:val="00E03CF1"/>
    <w:rsid w:val="00E535D4"/>
    <w:rsid w:val="00E574F4"/>
    <w:rsid w:val="00E71860"/>
    <w:rsid w:val="00E85886"/>
    <w:rsid w:val="00E87EEF"/>
    <w:rsid w:val="00E97937"/>
    <w:rsid w:val="00E97FEB"/>
    <w:rsid w:val="00EA2C35"/>
    <w:rsid w:val="00EE6B31"/>
    <w:rsid w:val="00EF29D2"/>
    <w:rsid w:val="00F3534A"/>
    <w:rsid w:val="00F36BF4"/>
    <w:rsid w:val="00F442B6"/>
    <w:rsid w:val="00F510E0"/>
    <w:rsid w:val="00F67003"/>
    <w:rsid w:val="00F810F1"/>
    <w:rsid w:val="00F97DF4"/>
    <w:rsid w:val="00FA00EB"/>
    <w:rsid w:val="00FA3A72"/>
    <w:rsid w:val="00FB67B5"/>
    <w:rsid w:val="00FC09C7"/>
    <w:rsid w:val="00FC2811"/>
    <w:rsid w:val="00FC2CD6"/>
    <w:rsid w:val="00FC6369"/>
    <w:rsid w:val="00FC6A90"/>
    <w:rsid w:val="00FC7C5C"/>
    <w:rsid w:val="00FD0800"/>
    <w:rsid w:val="00FD16C2"/>
    <w:rsid w:val="00FD5E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DF3F"/>
  <w15:docId w15:val="{5B60E193-7B75-46C0-B47F-0422610A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126D9"/>
    <w:pPr>
      <w:keepNext/>
      <w:jc w:val="both"/>
      <w:outlineLvl w:val="0"/>
    </w:pPr>
    <w:rPr>
      <w:b/>
      <w:u w:val="single"/>
    </w:rPr>
  </w:style>
  <w:style w:type="paragraph" w:styleId="Overskrift2">
    <w:name w:val="heading 2"/>
    <w:basedOn w:val="Normal"/>
    <w:next w:val="Normal"/>
    <w:link w:val="Overskrift2Tegn"/>
    <w:uiPriority w:val="9"/>
    <w:unhideWhenUsed/>
    <w:qFormat/>
    <w:rsid w:val="005045FD"/>
    <w:pPr>
      <w:keepNext/>
      <w:spacing w:after="0" w:line="240" w:lineRule="auto"/>
      <w:jc w:val="both"/>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E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E022DB"/>
    <w:rPr>
      <w:b/>
    </w:rPr>
  </w:style>
  <w:style w:type="character" w:customStyle="1" w:styleId="BrdtekstTegn">
    <w:name w:val="Brødtekst Tegn"/>
    <w:basedOn w:val="Standardskrifttypeiafsnit"/>
    <w:link w:val="Brdtekst"/>
    <w:uiPriority w:val="99"/>
    <w:rsid w:val="00E022DB"/>
    <w:rPr>
      <w:b/>
    </w:rPr>
  </w:style>
  <w:style w:type="paragraph" w:styleId="Brdtekst2">
    <w:name w:val="Body Text 2"/>
    <w:basedOn w:val="Normal"/>
    <w:link w:val="Brdtekst2Tegn"/>
    <w:uiPriority w:val="99"/>
    <w:unhideWhenUsed/>
    <w:rsid w:val="00E85886"/>
    <w:pPr>
      <w:jc w:val="both"/>
    </w:pPr>
  </w:style>
  <w:style w:type="character" w:customStyle="1" w:styleId="Brdtekst2Tegn">
    <w:name w:val="Brødtekst 2 Tegn"/>
    <w:basedOn w:val="Standardskrifttypeiafsnit"/>
    <w:link w:val="Brdtekst2"/>
    <w:uiPriority w:val="99"/>
    <w:rsid w:val="00E85886"/>
  </w:style>
  <w:style w:type="character" w:customStyle="1" w:styleId="highlight2">
    <w:name w:val="highlight2"/>
    <w:basedOn w:val="Standardskrifttypeiafsnit"/>
    <w:rsid w:val="00081717"/>
  </w:style>
  <w:style w:type="character" w:customStyle="1" w:styleId="Overskrift1Tegn">
    <w:name w:val="Overskrift 1 Tegn"/>
    <w:basedOn w:val="Standardskrifttypeiafsnit"/>
    <w:link w:val="Overskrift1"/>
    <w:uiPriority w:val="9"/>
    <w:rsid w:val="001126D9"/>
    <w:rPr>
      <w:b/>
      <w:u w:val="single"/>
    </w:rPr>
  </w:style>
  <w:style w:type="character" w:customStyle="1" w:styleId="Overskrift2Tegn">
    <w:name w:val="Overskrift 2 Tegn"/>
    <w:basedOn w:val="Standardskrifttypeiafsnit"/>
    <w:link w:val="Overskrift2"/>
    <w:uiPriority w:val="9"/>
    <w:rsid w:val="005045FD"/>
    <w:rPr>
      <w:b/>
    </w:rPr>
  </w:style>
  <w:style w:type="paragraph" w:styleId="Listeafsnit">
    <w:name w:val="List Paragraph"/>
    <w:basedOn w:val="Normal"/>
    <w:uiPriority w:val="34"/>
    <w:qFormat/>
    <w:rsid w:val="002730DB"/>
    <w:pPr>
      <w:ind w:left="720"/>
      <w:contextualSpacing/>
    </w:pPr>
  </w:style>
  <w:style w:type="paragraph" w:styleId="NormalWeb">
    <w:name w:val="Normal (Web)"/>
    <w:basedOn w:val="Normal"/>
    <w:uiPriority w:val="99"/>
    <w:semiHidden/>
    <w:unhideWhenUsed/>
    <w:rsid w:val="00172A8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C204B"/>
    <w:rPr>
      <w:color w:val="0000FF"/>
      <w:u w:val="single"/>
    </w:rPr>
  </w:style>
  <w:style w:type="character" w:styleId="Kommentarhenvisning">
    <w:name w:val="annotation reference"/>
    <w:basedOn w:val="Standardskrifttypeiafsnit"/>
    <w:uiPriority w:val="99"/>
    <w:semiHidden/>
    <w:unhideWhenUsed/>
    <w:rsid w:val="000E556B"/>
    <w:rPr>
      <w:sz w:val="16"/>
      <w:szCs w:val="16"/>
    </w:rPr>
  </w:style>
  <w:style w:type="paragraph" w:styleId="Kommentartekst">
    <w:name w:val="annotation text"/>
    <w:basedOn w:val="Normal"/>
    <w:link w:val="KommentartekstTegn"/>
    <w:uiPriority w:val="99"/>
    <w:semiHidden/>
    <w:unhideWhenUsed/>
    <w:rsid w:val="000E556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E556B"/>
    <w:rPr>
      <w:sz w:val="20"/>
      <w:szCs w:val="20"/>
    </w:rPr>
  </w:style>
  <w:style w:type="paragraph" w:styleId="Kommentaremne">
    <w:name w:val="annotation subject"/>
    <w:basedOn w:val="Kommentartekst"/>
    <w:next w:val="Kommentartekst"/>
    <w:link w:val="KommentaremneTegn"/>
    <w:uiPriority w:val="99"/>
    <w:semiHidden/>
    <w:unhideWhenUsed/>
    <w:rsid w:val="000E556B"/>
    <w:rPr>
      <w:b/>
      <w:bCs/>
    </w:rPr>
  </w:style>
  <w:style w:type="character" w:customStyle="1" w:styleId="KommentaremneTegn">
    <w:name w:val="Kommentaremne Tegn"/>
    <w:basedOn w:val="KommentartekstTegn"/>
    <w:link w:val="Kommentaremne"/>
    <w:uiPriority w:val="99"/>
    <w:semiHidden/>
    <w:rsid w:val="000E556B"/>
    <w:rPr>
      <w:b/>
      <w:bCs/>
      <w:sz w:val="20"/>
      <w:szCs w:val="20"/>
    </w:rPr>
  </w:style>
  <w:style w:type="paragraph" w:styleId="Markeringsbobletekst">
    <w:name w:val="Balloon Text"/>
    <w:basedOn w:val="Normal"/>
    <w:link w:val="MarkeringsbobletekstTegn"/>
    <w:uiPriority w:val="99"/>
    <w:semiHidden/>
    <w:unhideWhenUsed/>
    <w:rsid w:val="000E556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556B"/>
    <w:rPr>
      <w:rFonts w:ascii="Segoe UI" w:hAnsi="Segoe UI" w:cs="Segoe UI"/>
      <w:sz w:val="18"/>
      <w:szCs w:val="18"/>
    </w:rPr>
  </w:style>
  <w:style w:type="character" w:styleId="BesgtLink">
    <w:name w:val="FollowedHyperlink"/>
    <w:basedOn w:val="Standardskrifttypeiafsnit"/>
    <w:uiPriority w:val="99"/>
    <w:semiHidden/>
    <w:unhideWhenUsed/>
    <w:rsid w:val="00FD0800"/>
    <w:rPr>
      <w:color w:val="800080" w:themeColor="followedHyperlink"/>
      <w:u w:val="single"/>
    </w:rPr>
  </w:style>
  <w:style w:type="character" w:customStyle="1" w:styleId="jrnl">
    <w:name w:val="jrnl"/>
    <w:basedOn w:val="Standardskrifttypeiafsnit"/>
    <w:rsid w:val="00E8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6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yomedicallaboratories.com/test-catalog/Clinical+and+Interpretive/60591"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1979</Words>
  <Characters>13598</Characters>
  <Application>Microsoft Office Word</Application>
  <DocSecurity>4</DocSecurity>
  <Lines>284</Lines>
  <Paragraphs>122</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Magnus Bernth Jensen</dc:creator>
  <cp:lastModifiedBy>Betina Samuelsen Sørensen</cp:lastModifiedBy>
  <cp:revision>2</cp:revision>
  <dcterms:created xsi:type="dcterms:W3CDTF">2021-10-01T13:24:00Z</dcterms:created>
  <dcterms:modified xsi:type="dcterms:W3CDTF">2021-10-01T13:24:00Z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